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2C21E01A" w:rsidR="00904D6D" w:rsidRPr="000A71C9" w:rsidRDefault="00354A58" w:rsidP="00956EB6">
      <w:pPr>
        <w:pStyle w:val="Title"/>
        <w:rPr>
          <w:sz w:val="32"/>
          <w:szCs w:val="32"/>
        </w:rPr>
      </w:pPr>
      <w:bookmarkStart w:id="0" w:name="_Hlk78354194"/>
      <w:r w:rsidRPr="000A71C9">
        <w:rPr>
          <w:sz w:val="32"/>
          <w:szCs w:val="32"/>
          <w:lang w:val="en-ID"/>
        </w:rPr>
        <w:t>Paper’s</w:t>
      </w:r>
      <w:r w:rsidRPr="000A71C9">
        <w:rPr>
          <w:sz w:val="32"/>
          <w:szCs w:val="32"/>
        </w:rPr>
        <w:t xml:space="preserve"> </w:t>
      </w:r>
      <w:r w:rsidRPr="000A71C9">
        <w:rPr>
          <w:sz w:val="32"/>
          <w:szCs w:val="32"/>
          <w:lang w:val="en-US"/>
        </w:rPr>
        <w:t>title</w:t>
      </w:r>
      <w:bookmarkEnd w:id="0"/>
      <w:r w:rsidRPr="000A71C9">
        <w:rPr>
          <w:sz w:val="32"/>
          <w:szCs w:val="32"/>
          <w:lang w:val="en-US"/>
        </w:rPr>
        <w:t xml:space="preserve"> </w:t>
      </w:r>
      <w:r w:rsidR="005160A8" w:rsidRPr="000A71C9">
        <w:rPr>
          <w:sz w:val="32"/>
          <w:szCs w:val="32"/>
        </w:rPr>
        <w:t xml:space="preserve">should be </w:t>
      </w:r>
      <w:r w:rsidR="005160A8" w:rsidRPr="000A71C9">
        <w:rPr>
          <w:sz w:val="32"/>
          <w:szCs w:val="32"/>
          <w:lang w:val="en-US"/>
        </w:rPr>
        <w:t>t</w:t>
      </w:r>
      <w:r w:rsidR="005160A8" w:rsidRPr="000A71C9">
        <w:rPr>
          <w:sz w:val="32"/>
          <w:szCs w:val="32"/>
        </w:rPr>
        <w:t xml:space="preserve">he fewest possible words that </w:t>
      </w:r>
      <w:r w:rsidR="005160A8" w:rsidRPr="000A71C9">
        <w:rPr>
          <w:iCs/>
          <w:sz w:val="32"/>
          <w:szCs w:val="32"/>
        </w:rPr>
        <w:t xml:space="preserve">accurately describe </w:t>
      </w:r>
      <w:r w:rsidR="005160A8" w:rsidRPr="000A71C9">
        <w:rPr>
          <w:iCs/>
          <w:sz w:val="32"/>
          <w:szCs w:val="32"/>
          <w:lang w:val="en-US"/>
        </w:rPr>
        <w:t>t</w:t>
      </w:r>
      <w:r w:rsidR="005160A8" w:rsidRPr="000A71C9">
        <w:rPr>
          <w:iCs/>
          <w:sz w:val="32"/>
          <w:szCs w:val="32"/>
        </w:rPr>
        <w:t xml:space="preserve">he content </w:t>
      </w:r>
      <w:r w:rsidR="005160A8" w:rsidRPr="000A71C9">
        <w:rPr>
          <w:iCs/>
          <w:sz w:val="32"/>
          <w:szCs w:val="32"/>
          <w:lang w:val="en-US"/>
        </w:rPr>
        <w:t>o</w:t>
      </w:r>
      <w:r w:rsidR="005160A8" w:rsidRPr="000A71C9">
        <w:rPr>
          <w:iCs/>
          <w:sz w:val="32"/>
          <w:szCs w:val="32"/>
        </w:rPr>
        <w:t xml:space="preserve">f </w:t>
      </w:r>
      <w:r w:rsidR="005160A8" w:rsidRPr="000A71C9">
        <w:rPr>
          <w:iCs/>
          <w:sz w:val="32"/>
          <w:szCs w:val="32"/>
          <w:lang w:val="en-US"/>
        </w:rPr>
        <w:t>t</w:t>
      </w:r>
      <w:r w:rsidR="005160A8" w:rsidRPr="000A71C9">
        <w:rPr>
          <w:iCs/>
          <w:sz w:val="32"/>
          <w:szCs w:val="32"/>
        </w:rPr>
        <w:t>he paper</w:t>
      </w:r>
      <w:r w:rsidR="005160A8" w:rsidRPr="000A71C9">
        <w:rPr>
          <w:iCs/>
          <w:sz w:val="32"/>
          <w:szCs w:val="32"/>
          <w:lang w:val="en-US"/>
        </w:rPr>
        <w:t xml:space="preserve"> </w:t>
      </w:r>
      <w:r w:rsidR="00904D6D" w:rsidRPr="000A71C9">
        <w:rPr>
          <w:sz w:val="32"/>
          <w:szCs w:val="32"/>
        </w:rPr>
        <w:t>(Center, Bold, 16</w:t>
      </w:r>
      <w:r w:rsidR="00F33C08" w:rsidRPr="000A71C9">
        <w:rPr>
          <w:sz w:val="32"/>
          <w:szCs w:val="32"/>
          <w:lang w:val="en-US"/>
        </w:rPr>
        <w:t>pt</w:t>
      </w:r>
      <w:r w:rsidR="00904D6D" w:rsidRPr="000A71C9">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289271AB" w14:textId="14EEFF21" w:rsidR="00BC03E2" w:rsidRPr="00D74C5F" w:rsidRDefault="00814B2C" w:rsidP="00BC03E2">
      <w:pPr>
        <w:jc w:val="center"/>
        <w:rPr>
          <w:b/>
          <w:bCs/>
        </w:rPr>
      </w:pPr>
      <w:r>
        <w:rPr>
          <w:b/>
          <w:bCs/>
          <w:lang w:val="id-ID"/>
        </w:rPr>
        <w:t>First Author</w:t>
      </w:r>
      <w:r w:rsidR="00BC03E2" w:rsidRPr="001A7D56">
        <w:rPr>
          <w:b/>
          <w:bCs/>
          <w:vertAlign w:val="superscript"/>
        </w:rPr>
        <w:t>1</w:t>
      </w:r>
      <w:r w:rsidR="00BC03E2" w:rsidRPr="003D5B84">
        <w:rPr>
          <w:b/>
          <w:bCs/>
          <w:lang w:val="id-ID"/>
        </w:rPr>
        <w:t xml:space="preserve">, </w:t>
      </w:r>
      <w:r w:rsidR="004D6B82">
        <w:rPr>
          <w:b/>
          <w:bCs/>
          <w:lang w:val="id-ID"/>
        </w:rPr>
        <w:t>Second Author</w:t>
      </w:r>
      <w:r w:rsidR="00BC03E2" w:rsidRPr="001A7D56">
        <w:rPr>
          <w:b/>
          <w:bCs/>
          <w:vertAlign w:val="superscript"/>
        </w:rPr>
        <w:t>2</w:t>
      </w:r>
      <w:r w:rsidR="00460665">
        <w:rPr>
          <w:b/>
          <w:bCs/>
          <w:vertAlign w:val="superscript"/>
        </w:rPr>
        <w:t>,3</w:t>
      </w:r>
      <w:r w:rsidR="00BC03E2" w:rsidRPr="00AB29D2">
        <w:rPr>
          <w:b/>
          <w:bCs/>
        </w:rPr>
        <w:t>,</w:t>
      </w:r>
      <w:r w:rsidR="00BC03E2">
        <w:rPr>
          <w:b/>
          <w:bCs/>
        </w:rPr>
        <w:t xml:space="preserve"> </w:t>
      </w:r>
      <w:r w:rsidR="004D6B82">
        <w:rPr>
          <w:b/>
          <w:bCs/>
        </w:rPr>
        <w:t>T</w:t>
      </w:r>
      <w:r w:rsidR="004D6B82">
        <w:rPr>
          <w:b/>
          <w:bCs/>
          <w:lang w:val="id-ID"/>
        </w:rPr>
        <w:t>hird Author</w:t>
      </w:r>
      <w:r w:rsidR="00460665">
        <w:rPr>
          <w:b/>
          <w:bCs/>
          <w:vertAlign w:val="superscript"/>
        </w:rPr>
        <w:t>4</w:t>
      </w:r>
      <w:r w:rsidR="00BC03E2">
        <w:rPr>
          <w:b/>
          <w:bCs/>
        </w:rPr>
        <w:t xml:space="preserve"> (10 pt)</w:t>
      </w:r>
    </w:p>
    <w:p w14:paraId="151F6805" w14:textId="6FF6CB1A" w:rsidR="00BC03E2" w:rsidRPr="009B6996" w:rsidRDefault="00BC03E2" w:rsidP="00BC03E2">
      <w:pPr>
        <w:jc w:val="center"/>
        <w:rPr>
          <w:sz w:val="16"/>
          <w:szCs w:val="16"/>
        </w:rPr>
      </w:pPr>
      <w:bookmarkStart w:id="1" w:name="_Hlk78440884"/>
      <w:r w:rsidRPr="009B6996">
        <w:rPr>
          <w:sz w:val="16"/>
          <w:szCs w:val="16"/>
          <w:vertAlign w:val="superscript"/>
        </w:rPr>
        <w:t>1</w:t>
      </w:r>
      <w:r w:rsidR="004D6B82">
        <w:rPr>
          <w:sz w:val="16"/>
          <w:szCs w:val="16"/>
        </w:rPr>
        <w:t>D</w:t>
      </w:r>
      <w:r w:rsidR="004D6B82">
        <w:rPr>
          <w:sz w:val="16"/>
          <w:szCs w:val="16"/>
          <w:lang w:val="id-ID"/>
        </w:rPr>
        <w:t>epartment, Institution, Country</w:t>
      </w:r>
      <w:r w:rsidRPr="00AB29D2">
        <w:rPr>
          <w:sz w:val="16"/>
          <w:szCs w:val="16"/>
        </w:rPr>
        <w:t xml:space="preserve"> </w:t>
      </w:r>
      <w:r w:rsidRPr="009B6996">
        <w:rPr>
          <w:sz w:val="16"/>
          <w:szCs w:val="16"/>
        </w:rPr>
        <w:t>(8 pt)</w:t>
      </w:r>
    </w:p>
    <w:p w14:paraId="70E63273" w14:textId="50541B53" w:rsidR="00BC03E2" w:rsidRDefault="00BC03E2" w:rsidP="00BC03E2">
      <w:pPr>
        <w:jc w:val="center"/>
        <w:rPr>
          <w:sz w:val="16"/>
          <w:szCs w:val="16"/>
        </w:rPr>
      </w:pPr>
      <w:r w:rsidRPr="009B6996">
        <w:rPr>
          <w:sz w:val="16"/>
          <w:szCs w:val="16"/>
          <w:vertAlign w:val="superscript"/>
        </w:rPr>
        <w:t>2</w:t>
      </w:r>
      <w:r w:rsidR="00EC51A8" w:rsidRPr="00EC51A8">
        <w:rPr>
          <w:sz w:val="16"/>
          <w:szCs w:val="16"/>
        </w:rPr>
        <w:t xml:space="preserve"> </w:t>
      </w:r>
      <w:r w:rsidR="00EC51A8">
        <w:rPr>
          <w:sz w:val="16"/>
          <w:szCs w:val="16"/>
        </w:rPr>
        <w:t>D</w:t>
      </w:r>
      <w:r w:rsidR="00EC51A8">
        <w:rPr>
          <w:sz w:val="16"/>
          <w:szCs w:val="16"/>
          <w:lang w:val="id-ID"/>
        </w:rPr>
        <w:t>epartment, Institution, Country</w:t>
      </w:r>
    </w:p>
    <w:p w14:paraId="04D7B3DD" w14:textId="2D36C51C" w:rsidR="00460665" w:rsidRPr="009B6996" w:rsidRDefault="00460665" w:rsidP="00BC03E2">
      <w:pPr>
        <w:jc w:val="center"/>
        <w:rPr>
          <w:sz w:val="16"/>
          <w:szCs w:val="16"/>
        </w:rPr>
      </w:pPr>
      <w:r w:rsidRPr="00460665">
        <w:rPr>
          <w:sz w:val="16"/>
          <w:szCs w:val="16"/>
          <w:vertAlign w:val="superscript"/>
        </w:rPr>
        <w:t>3</w:t>
      </w:r>
      <w:r w:rsidR="00EC51A8" w:rsidRPr="00EC51A8">
        <w:rPr>
          <w:sz w:val="16"/>
          <w:szCs w:val="16"/>
        </w:rPr>
        <w:t xml:space="preserve"> </w:t>
      </w:r>
      <w:r w:rsidR="00EC51A8">
        <w:rPr>
          <w:sz w:val="16"/>
          <w:szCs w:val="16"/>
        </w:rPr>
        <w:t>D</w:t>
      </w:r>
      <w:r w:rsidR="00EC51A8">
        <w:rPr>
          <w:sz w:val="16"/>
          <w:szCs w:val="16"/>
          <w:lang w:val="id-ID"/>
        </w:rPr>
        <w:t>epartment, Institution, Country</w:t>
      </w:r>
    </w:p>
    <w:p w14:paraId="4A2A4D2E" w14:textId="6AA9F80E" w:rsidR="00BC03E2" w:rsidRPr="009B6996" w:rsidRDefault="00460665" w:rsidP="00BC03E2">
      <w:pPr>
        <w:jc w:val="center"/>
        <w:rPr>
          <w:sz w:val="16"/>
          <w:szCs w:val="16"/>
        </w:rPr>
      </w:pPr>
      <w:r>
        <w:rPr>
          <w:sz w:val="16"/>
          <w:szCs w:val="16"/>
          <w:vertAlign w:val="superscript"/>
        </w:rPr>
        <w:t>4</w:t>
      </w:r>
      <w:r w:rsidR="00EC51A8" w:rsidRPr="00EC51A8">
        <w:rPr>
          <w:sz w:val="16"/>
          <w:szCs w:val="16"/>
        </w:rPr>
        <w:t xml:space="preserve"> </w:t>
      </w:r>
      <w:r w:rsidR="00EC51A8">
        <w:rPr>
          <w:sz w:val="16"/>
          <w:szCs w:val="16"/>
        </w:rPr>
        <w:t>D</w:t>
      </w:r>
      <w:r w:rsidR="00EC51A8">
        <w:rPr>
          <w:sz w:val="16"/>
          <w:szCs w:val="16"/>
          <w:lang w:val="id-ID"/>
        </w:rPr>
        <w:t>epartment, Institution, Country</w:t>
      </w:r>
    </w:p>
    <w:bookmarkEnd w:id="1"/>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77777777" w:rsidR="00941203" w:rsidRDefault="00941203" w:rsidP="00957C11">
            <w:pPr>
              <w:jc w:val="both"/>
            </w:pPr>
            <w:r w:rsidRPr="00957C11">
              <w:t>Received</w:t>
            </w:r>
            <w:r>
              <w:t xml:space="preserve"> </w:t>
            </w:r>
            <w:r w:rsidR="00523156" w:rsidRPr="00523156">
              <w:t xml:space="preserve">mm dd, </w:t>
            </w:r>
            <w:proofErr w:type="spellStart"/>
            <w:r w:rsidR="00523156" w:rsidRPr="00523156">
              <w:t>yyyy</w:t>
            </w:r>
            <w:proofErr w:type="spellEnd"/>
          </w:p>
          <w:p w14:paraId="745B47E5" w14:textId="77777777" w:rsidR="00941203" w:rsidRDefault="00941203" w:rsidP="00957C11">
            <w:pPr>
              <w:jc w:val="both"/>
            </w:pPr>
            <w:r>
              <w:t xml:space="preserve">Revised </w:t>
            </w:r>
            <w:r w:rsidR="00523156" w:rsidRPr="00523156">
              <w:t xml:space="preserve">mm dd, </w:t>
            </w:r>
            <w:proofErr w:type="spellStart"/>
            <w:r w:rsidR="00523156" w:rsidRPr="00523156">
              <w:t>yyyy</w:t>
            </w:r>
            <w:proofErr w:type="spellEnd"/>
          </w:p>
          <w:p w14:paraId="6CE20EAE" w14:textId="77777777" w:rsidR="00941203" w:rsidRDefault="00941203" w:rsidP="00957C11">
            <w:pPr>
              <w:jc w:val="both"/>
            </w:pPr>
            <w:r>
              <w:t xml:space="preserve">Accepted </w:t>
            </w:r>
            <w:r w:rsidR="00523156" w:rsidRPr="00523156">
              <w:t xml:space="preserve">mm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684F3701" w:rsidR="00941203" w:rsidRPr="00957C11" w:rsidRDefault="00BC03E2" w:rsidP="00957C11">
            <w:pPr>
              <w:spacing w:before="120"/>
              <w:jc w:val="both"/>
            </w:pPr>
            <w:r>
              <w:rPr>
                <w:iCs/>
                <w:color w:val="000000"/>
                <w:sz w:val="18"/>
                <w:szCs w:val="18"/>
              </w:rPr>
              <w:t>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Pr>
                <w:iCs/>
                <w:color w:val="000000"/>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w:t>
            </w:r>
            <w:r>
              <w:rPr>
                <w:sz w:val="18"/>
                <w:szCs w:val="18"/>
              </w:rPr>
              <w:t xml:space="preserve"> </w:t>
            </w:r>
            <w:r>
              <w:rPr>
                <w:iCs/>
                <w:color w:val="000000"/>
                <w:sz w:val="18"/>
                <w:szCs w:val="18"/>
              </w:rPr>
              <w:t xml:space="preserve">The keyword list provides the opportunity to add 5 to 7 keywords, used by the indexing and abstracting services, in addition to those already present in the title </w:t>
            </w:r>
            <w:r>
              <w:rPr>
                <w:sz w:val="18"/>
                <w:szCs w:val="18"/>
              </w:rPr>
              <w:t>(9 pt)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136ECBE7" w14:textId="1F044A66" w:rsidR="00BC03E2" w:rsidRDefault="00845A76" w:rsidP="00BC03E2">
            <w:proofErr w:type="spellStart"/>
            <w:r w:rsidRPr="00845A76">
              <w:t>Azlina</w:t>
            </w:r>
            <w:proofErr w:type="spellEnd"/>
            <w:r w:rsidRPr="00845A76">
              <w:t xml:space="preserve"> </w:t>
            </w:r>
            <w:proofErr w:type="spellStart"/>
            <w:r w:rsidRPr="00845A76">
              <w:t>Mohd</w:t>
            </w:r>
            <w:proofErr w:type="spellEnd"/>
            <w:r w:rsidRPr="00845A76">
              <w:t xml:space="preserve"> </w:t>
            </w:r>
            <w:proofErr w:type="spellStart"/>
            <w:r w:rsidRPr="00845A76">
              <w:t>Kosnin</w:t>
            </w:r>
            <w:proofErr w:type="spellEnd"/>
          </w:p>
          <w:p w14:paraId="1C912141" w14:textId="40654650" w:rsidR="00BC03E2" w:rsidRDefault="00567C67" w:rsidP="00BC03E2">
            <w:r w:rsidRPr="00A81C85">
              <w:t xml:space="preserve">Faculty of Social Sciences and Humanities, </w:t>
            </w:r>
            <w:r w:rsidR="00BC03E2" w:rsidRPr="00A81C85">
              <w:t xml:space="preserve">School of Education, </w:t>
            </w:r>
            <w:proofErr w:type="spellStart"/>
            <w:r w:rsidR="00BC03E2" w:rsidRPr="00A81C85">
              <w:t>Universiti</w:t>
            </w:r>
            <w:proofErr w:type="spellEnd"/>
            <w:r w:rsidR="00BC03E2" w:rsidRPr="00A81C85">
              <w:t xml:space="preserve"> </w:t>
            </w:r>
            <w:proofErr w:type="spellStart"/>
            <w:r w:rsidR="00BC03E2" w:rsidRPr="00A81C85">
              <w:t>Teknologi</w:t>
            </w:r>
            <w:proofErr w:type="spellEnd"/>
            <w:r w:rsidR="00BC03E2" w:rsidRPr="00A81C85">
              <w:t xml:space="preserve"> Malaysia</w:t>
            </w:r>
          </w:p>
          <w:p w14:paraId="06B58745" w14:textId="77777777" w:rsidR="00BC03E2" w:rsidRDefault="00BC03E2" w:rsidP="00BC03E2">
            <w:r w:rsidRPr="00A81C85">
              <w:t xml:space="preserve">Sultan Ibrahim Chancellery Building, Jalan </w:t>
            </w:r>
            <w:proofErr w:type="spellStart"/>
            <w:r w:rsidRPr="00A81C85">
              <w:t>Iman</w:t>
            </w:r>
            <w:proofErr w:type="spellEnd"/>
            <w:r w:rsidRPr="00A81C85">
              <w:t xml:space="preserve">, 81310 </w:t>
            </w:r>
            <w:proofErr w:type="spellStart"/>
            <w:r w:rsidRPr="00A81C85">
              <w:t>Skudai</w:t>
            </w:r>
            <w:proofErr w:type="spellEnd"/>
            <w:r w:rsidRPr="00A81C85">
              <w:t>, Johor, Malaysia</w:t>
            </w:r>
          </w:p>
          <w:p w14:paraId="3C411EDF" w14:textId="1DA48F1E" w:rsidR="00941203" w:rsidRPr="00957C11" w:rsidRDefault="00BC03E2" w:rsidP="00BC03E2">
            <w:pPr>
              <w:spacing w:after="120"/>
              <w:rPr>
                <w:color w:val="000000"/>
                <w:sz w:val="18"/>
                <w:szCs w:val="18"/>
              </w:rPr>
            </w:pPr>
            <w:r>
              <w:t xml:space="preserve">Email: </w:t>
            </w:r>
            <w:r w:rsidR="000A71C9" w:rsidRPr="000A71C9">
              <w:t>p-azlina@utm.my</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577997E0" w:rsidR="00E619D6" w:rsidRPr="00386A3D" w:rsidRDefault="00846269" w:rsidP="00E619D6">
      <w:pPr>
        <w:ind w:firstLine="720"/>
        <w:jc w:val="both"/>
      </w:pPr>
      <w:bookmarkStart w:id="2" w:name="_Hlk80000636"/>
      <w:bookmarkStart w:id="3"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bookmarkEnd w:id="3"/>
      <w:r w:rsidR="00E619D6" w:rsidRPr="003D6B19">
        <w:rPr>
          <w:lang w:val="id-ID"/>
        </w:rPr>
        <w:t xml:space="preserve"> </w:t>
      </w:r>
      <w:r w:rsidR="003E23A5" w:rsidRPr="003E23A5">
        <w:rPr>
          <w:iCs/>
          <w:lang w:val="id-ID"/>
        </w:rPr>
        <w:t>http://ijere.iaescore.com</w:t>
      </w:r>
      <w:r w:rsidR="00386A3D">
        <w:rPr>
          <w:iCs/>
        </w:rPr>
        <w:t>.</w:t>
      </w:r>
    </w:p>
    <w:p w14:paraId="4B2BAF46" w14:textId="77777777" w:rsidR="00846269" w:rsidRDefault="00846269" w:rsidP="00846269">
      <w:pPr>
        <w:ind w:firstLine="720"/>
        <w:jc w:val="both"/>
        <w:rPr>
          <w:lang w:val="id-ID"/>
        </w:rPr>
      </w:pPr>
      <w:bookmarkStart w:id="4"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65EFDD74" w14:textId="77777777" w:rsidR="00846269" w:rsidRDefault="00846269" w:rsidP="00846269">
      <w:pPr>
        <w:ind w:firstLine="720"/>
        <w:jc w:val="both"/>
      </w:pPr>
      <w:r w:rsidRPr="00272BB5">
        <w:rPr>
          <w:lang w:val="id-ID"/>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3E0FA0DA" w14:textId="77777777" w:rsidR="00846269" w:rsidRPr="003D6B19" w:rsidRDefault="00846269" w:rsidP="00846269">
      <w:pPr>
        <w:ind w:firstLine="720"/>
        <w:jc w:val="both"/>
        <w:rPr>
          <w:lang w:val="id-ID"/>
        </w:rPr>
      </w:pPr>
      <w:r w:rsidRPr="003D6B19">
        <w:rPr>
          <w:lang w:val="id-ID"/>
        </w:rPr>
        <w:lastRenderedPageBreak/>
        <w:t>Indexing and abstracting services depend on the accuracy of the title, extracting from it keywords useful in cross-referencing and computer searching. An improperly titled paper may never reach the audience for which it was intended, so be specific.</w:t>
      </w:r>
    </w:p>
    <w:p w14:paraId="789AB2BE" w14:textId="46351FA6" w:rsidR="00846269" w:rsidRPr="003D6B19" w:rsidRDefault="00846269" w:rsidP="00846269">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i)</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763C7D">
        <w:fldChar w:fldCharType="begin" w:fldLock="1"/>
      </w:r>
      <w:r w:rsidRPr="00763C7D">
        <w:instrText>ADDIN CSL_CITATION {"citationItems":[{"id":"ITEM-1","itemData":{"DOI":"10.1016/j.edurev.2018.09.003","author":[{"dropping-particle":"","family":"Delgadoa","given":"P.","non-dropping-particle":"","parse-names":false,"suffix":""},{"dropping-particle":"","family":"Vargasb","given":"C.","non-dropping-particle":"","parse-names":false,"suffix":""},{"dropping-particle":"","family":"Ackermanc","given":"R.","non-dropping-particle":"","parse-names":false,"suffix":""},{"dropping-particle":"","family":"Salmerón","given":"L.","non-dropping-particle":"","parse-names":false,"suffix":""}],"container-title":"Educational Research Review","id":"ITEM-1","issued":{"date-parts":[["2018"]]},"page":"23-38","title":"Don't throw away your printed books: A meta-analysis on the effects of reading media on reading comprehension","type":"article-journal","volume":"25"},"uris":["http://www.mendeley.com/documents/?uuid=77c2367d-387c-40e4-8a04-af375c993166"]}],"mendeley":{"formattedCitation":"[1]","plainTextFormattedCitation":"[1]","previouslyFormattedCitation":"[1]"},"properties":{"noteIndex":0},"schema":"https://github.com/citation-style-language/schema/raw/master/csl-citation.json"}</w:instrText>
      </w:r>
      <w:r w:rsidRPr="00763C7D">
        <w:fldChar w:fldCharType="separate"/>
      </w:r>
      <w:r w:rsidRPr="00763C7D">
        <w:rPr>
          <w:noProof/>
        </w:rPr>
        <w:t>[1]</w:t>
      </w:r>
      <w:r w:rsidRPr="00763C7D">
        <w:fldChar w:fldCharType="end"/>
      </w:r>
      <w:r w:rsidRPr="00763C7D">
        <w:t xml:space="preserve">,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sidRPr="00763C7D">
        <w:t>[3]</w:t>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C957AC">
        <w:rPr>
          <w:bCs/>
          <w:i/>
          <w:iCs/>
          <w:lang w:val="en-ID"/>
        </w:rPr>
        <w:t>(</w:t>
      </w:r>
      <w:r w:rsidR="00C957AC" w:rsidRPr="00C957AC">
        <w:rPr>
          <w:bCs/>
          <w:i/>
          <w:iCs/>
          <w:lang w:val="en-ID"/>
        </w:rPr>
        <w:t>o</w:t>
      </w:r>
      <w:r w:rsidRPr="00C957AC">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r w:rsidRPr="007F01C2">
        <w:rPr>
          <w:b/>
          <w:lang w:val="en-ID"/>
        </w:rPr>
        <w:t>IMRaD</w:t>
      </w:r>
      <w:r w:rsidRPr="007F01C2">
        <w:rPr>
          <w:bCs/>
          <w:lang w:val="en-ID"/>
        </w:rPr>
        <w:t xml:space="preserve"> style</w:t>
      </w:r>
      <w:r w:rsidRPr="007F01C2">
        <w:rPr>
          <w:bCs/>
          <w:lang w:val="id-ID"/>
        </w:rPr>
        <w:t>.</w:t>
      </w:r>
      <w:r w:rsidRPr="003D6B19">
        <w:rPr>
          <w:lang w:val="id-ID"/>
        </w:rPr>
        <w:t xml:space="preserve"> </w:t>
      </w:r>
    </w:p>
    <w:p w14:paraId="61C82446" w14:textId="0F6CA583" w:rsidR="00846269" w:rsidRPr="003D6B19" w:rsidRDefault="00846269" w:rsidP="00846269">
      <w:pPr>
        <w:ind w:firstLine="720"/>
        <w:jc w:val="both"/>
        <w:rPr>
          <w:spacing w:val="-2"/>
          <w:lang w:val="id-ID"/>
        </w:rPr>
      </w:pPr>
      <w:bookmarkStart w:id="5"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763C7D">
        <w:rPr>
          <w:spacing w:val="-2"/>
        </w:rPr>
        <w:fldChar w:fldCharType="begin" w:fldLock="1"/>
      </w:r>
      <w:r w:rsidRPr="00763C7D">
        <w:rPr>
          <w:spacing w:val="-2"/>
        </w:rPr>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Pr="00763C7D">
        <w:rPr>
          <w:spacing w:val="-2"/>
        </w:rPr>
        <w:fldChar w:fldCharType="separate"/>
      </w:r>
      <w:r w:rsidRPr="00763C7D">
        <w:rPr>
          <w:noProof/>
          <w:spacing w:val="-2"/>
        </w:rPr>
        <w:t>[4]</w:t>
      </w:r>
      <w:r w:rsidRPr="00763C7D">
        <w:rPr>
          <w:spacing w:val="-2"/>
        </w:rPr>
        <w:fldChar w:fldCharType="end"/>
      </w:r>
      <w:r w:rsidRPr="003D6B19">
        <w:rPr>
          <w:spacing w:val="-2"/>
          <w:lang w:val="id-ID"/>
        </w:rPr>
        <w:t>.</w:t>
      </w:r>
      <w:bookmarkEnd w:id="4"/>
    </w:p>
    <w:bookmarkEnd w:id="5"/>
    <w:p w14:paraId="01B08C88" w14:textId="776CDE9F" w:rsidR="00E619D6" w:rsidRPr="003D6B19" w:rsidRDefault="00E619D6" w:rsidP="001C6DDA">
      <w:pPr>
        <w:jc w:val="both"/>
      </w:pPr>
    </w:p>
    <w:p w14:paraId="6D0BF8E6" w14:textId="77777777" w:rsidR="00E619D6" w:rsidRPr="003D6B19" w:rsidRDefault="00E619D6" w:rsidP="00E619D6">
      <w:pPr>
        <w:jc w:val="both"/>
      </w:pPr>
    </w:p>
    <w:p w14:paraId="7F5871EF" w14:textId="56163E4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2FC657EC" w14:textId="185ABF5A" w:rsidR="003E23A5" w:rsidRPr="00B437D2" w:rsidRDefault="00354A58" w:rsidP="003E23A5">
      <w:pPr>
        <w:ind w:firstLine="720"/>
        <w:jc w:val="both"/>
      </w:pPr>
      <w:bookmarkStart w:id="6" w:name="_Hlk78354310"/>
      <w:r w:rsidRPr="003D6B19">
        <w:rPr>
          <w:lang w:val="id-ID"/>
        </w:rPr>
        <w:t xml:space="preserve">Explaining research chronological, including research design, research procedure (in the form of algorithms, Pseudocode or other), how to test and data </w:t>
      </w:r>
      <w:bookmarkStart w:id="7" w:name="_Hlk78354375"/>
      <w:r w:rsidR="003E23A5" w:rsidRPr="00763C7D">
        <w:rPr>
          <w:lang w:val="id-ID"/>
        </w:rPr>
        <w:t>acquisition</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values","type":"article-journal","volume":"27"},"uris":["http://www.mendeley.com/documents/?uuid=12406328-6d21-4d12-bbfd-1965849e10fb"]},{"id":"ITEM-2","itemData":{"author":[{"dropping-particle":"","family":"Zimmerman","given":"B. J.","non-dropping-particle":"","parse-names":false,"suffix":""},{"dropping-particle":"","family":"Moylan","given":"A. R.","non-dropping-particle":"","parse-names":false,"suffix":""}],"container-title":"Handbook of Metacognition in Education","id":"ITEM-2","issued":{"date-parts":[["2009"]]},"page":"299-315","title":"Self-regulation: where metacognition and motivation intersect","type":"chapter"},"uris":["http://www.mendeley.com/documents/?uuid=369c908f-6b26-4956-a0c1-6972a6be35c5"]},{"id":"ITEM-3","itemData":{"author":[{"dropping-particle":"","family":"Pintrich","given":"P. R.","non-dropping-particle":"","parse-names":false,"suffix":""},{"dropping-particle":"","family":"Smith","given":"D. A. F.","non-dropping-particle":"","parse-names":false,"suffix":""},{"dropping-particle":"","family":"Duncan","given":"T.","non-dropping-particle":"","parse-names":false,"suffix":""},{"dropping-particle":"","family":"Mckeachie","given":"W.","non-dropping-particle":"","parse-names":false,"suffix":""}],"id":"ITEM-3","issued":{"date-parts":[["1991"]]},"publisher-place":"Ann Arbor, Michigan","title":"A manual for the use of the motivated strategies for learning questionnaire (MSLQ)","type":"book"},"uris":["http://www.mendeley.com/documents/?uuid=e9d04941-acb3-42d0-b5b8-bb9718dd244f"]}],"mendeley":{"formattedCitation":"[5]–[7]","plainTextFormattedCitation":"[5]–[7]","previouslyFormattedCitation":"[5]–[7]"},"properties":{"noteIndex":0},"schema":"https://github.com/citation-style-language/schema/raw/master/csl-citation.json"}</w:instrText>
      </w:r>
      <w:r w:rsidR="003E23A5" w:rsidRPr="00763C7D">
        <w:fldChar w:fldCharType="separate"/>
      </w:r>
      <w:r w:rsidR="003E23A5" w:rsidRPr="00763C7D">
        <w:rPr>
          <w:noProof/>
        </w:rPr>
        <w:t>[5]–[7]</w:t>
      </w:r>
      <w:r w:rsidR="003E23A5" w:rsidRPr="00763C7D">
        <w:fldChar w:fldCharType="end"/>
      </w:r>
      <w:r w:rsidR="003E23A5" w:rsidRPr="00763C7D">
        <w:rPr>
          <w:lang w:val="id-ID"/>
        </w:rPr>
        <w:t>. The description of the course of research should be supported references, so the explanation can be accepted scientifically</w:t>
      </w:r>
      <w:r w:rsidR="003E23A5" w:rsidRPr="00763C7D">
        <w:t xml:space="preserve"> </w:t>
      </w:r>
      <w:r w:rsidR="003E23A5" w:rsidRPr="00763C7D">
        <w:fldChar w:fldCharType="begin" w:fldLock="1"/>
      </w:r>
      <w:r w:rsidR="003E23A5" w:rsidRPr="00763C7D">
        <w:instrText>ADDIN CSL_CITATION {"citationItems":[{"id":"ITEM-1","itemData":{"author":[{"dropping-particle":"","family":"Roick","given":"J.","non-dropping-particle":"","parse-names":false,"suffix":""},{"dropping-particle":"","family":"Ringeisen","given":"T.","non-dropping-particle":"","parse-names":false,"suffix":""}],"container-title":"Learning and Individual Differences","id":"ITEM-1","issued":{"date-parts":[["2018"]]},"page":"148-158","title":"Students’ math performance in higher education: examining the role of self-regulated learning and self-efficacy","type":"article-journal","volume":"65"},"uris":["http://www.mendeley.com/documents/?uuid=ef1e1c93-9d3d-4a24-ba81-1427b9e0dd69"]}],"mendeley":{"formattedCitation":"[3]","plainTextFormattedCitation":"[3]","previouslyFormattedCitation":"[3]"},"properties":{"noteIndex":0},"schema":"https://github.com/citation-style-language/schema/raw/master/csl-citation.json"}</w:instrText>
      </w:r>
      <w:r w:rsidR="003E23A5" w:rsidRPr="00763C7D">
        <w:fldChar w:fldCharType="separate"/>
      </w:r>
      <w:r w:rsidR="003E23A5" w:rsidRPr="00763C7D">
        <w:rPr>
          <w:noProof/>
        </w:rPr>
        <w:t>[3]</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003E23A5" w:rsidRPr="00763C7D">
        <w:fldChar w:fldCharType="separate"/>
      </w:r>
      <w:r w:rsidR="003E23A5" w:rsidRPr="00763C7D">
        <w:rPr>
          <w:noProof/>
        </w:rPr>
        <w:t>[4]</w:t>
      </w:r>
      <w:r w:rsidR="003E23A5" w:rsidRPr="00763C7D">
        <w:fldChar w:fldCharType="end"/>
      </w:r>
      <w:r w:rsidR="003E23A5" w:rsidRPr="00763C7D">
        <w:t xml:space="preserve"> </w:t>
      </w:r>
      <w:r w:rsidR="003E23A5" w:rsidRPr="00763C7D">
        <w:rPr>
          <w:lang w:val="id-ID"/>
        </w:rPr>
        <w:t>Figures</w:t>
      </w:r>
      <w:r w:rsidR="003E23A5" w:rsidRPr="00763C7D">
        <w:t xml:space="preserve"> 1-2</w:t>
      </w:r>
      <w:r w:rsidR="003E23A5" w:rsidRPr="00763C7D">
        <w:rPr>
          <w:lang w:val="id-ID"/>
        </w:rPr>
        <w:t xml:space="preserve"> and</w:t>
      </w:r>
      <w:r w:rsidR="003E23A5" w:rsidRPr="00763C7D">
        <w:t xml:space="preserve"> </w:t>
      </w:r>
      <w:r w:rsidR="003E23A5" w:rsidRPr="00763C7D">
        <w:rPr>
          <w:lang w:val="id-ID"/>
        </w:rPr>
        <w:t>Table</w:t>
      </w:r>
      <w:r w:rsidR="003E23A5" w:rsidRPr="00763C7D">
        <w:t xml:space="preserve"> 1</w:t>
      </w:r>
      <w:r w:rsidR="003E23A5" w:rsidRPr="00763C7D">
        <w:rPr>
          <w:lang w:val="id-ID"/>
        </w:rPr>
        <w:t xml:space="preserve"> are presented center, as shown below and cited in the manuscript</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mendeley":{"formattedCitation":"[5]","plainTextFormattedCitation":"[5]","previouslyFormattedCitation":"[5]"},"properties":{"noteIndex":0},"schema":"https://github.com/citation-style-language/schema/raw/master/csl-citation.json"}</w:instrText>
      </w:r>
      <w:r w:rsidR="003E23A5" w:rsidRPr="00763C7D">
        <w:fldChar w:fldCharType="separate"/>
      </w:r>
      <w:r w:rsidR="003E23A5" w:rsidRPr="00763C7D">
        <w:rPr>
          <w:noProof/>
        </w:rPr>
        <w:t>[5]</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{"citationItems":[{"id":"ITEM-1","itemData":{"author":[{"dropping-particle":"","family":"Pressley","given":"M.","non-dropping-particle":"","parse-names":false,"suffix":""},{"dropping-particle":"","family":"McCormick","given":"C. B.","non-dropping-particle":"","parse-names":false,"suffix":""}],"id":"ITEM-1","issued":{"date-parts":[["1995"]]},"publisher":"HarperCollins College Publishers","publisher-place":"New York, USA","title":"Advanced educational psychology for educators, researchers, and policymakers","type":"book"},"uris":["http://www.mendeley.com/documents/?uuid=e8114d54-f15c-46f6-bf7f-86bc71f711a4"]},{"id":"ITEM-2","itemData":{"author":[{"dropping-particle":"","family":"Bandura","given":"A.","non-dropping-particle":"","parse-names":false,"suffix":""}],"id":"ITEM-2","issued":{"date-parts":[["1985"]]},"publisher":"Prentice-Hall, Inc.","title":"Prentice-Hall series in social learning theory. Social foundations of thought and action: A social cognitive theory","type":"book"},"uris":["http://www.mendeley.com/documents/?uuid=a58a1fbb-5d74-4feb-ab80-d5a5135a0765"]},{"id":"ITEM-3","itemData":{"DOI":"10.1007/s10648-015-9320-8","author":[{"dropping-particle":"","family":"Dent","given":"A. L.","non-dropping-particle":"","parse-names":false,"suffix":""},{"dropping-particle":"","family":"Koenka","given":"A. C.","non-dropping-particle":"","parse-names":false,"suffix":""}],"container-title":"Educational Psychology Review","id":"ITEM-3","issue":"3","issued":{"date-parts":[["2015"]]},"page":"425-474","title":"The relation between self-regulated learning and academic achievement across childhood and adolescence: a meta-analysis","type":"article-journal","volume":"28"},"uris":["http://www.mendeley.com/documents/?uuid=0cdf779f-a433-43d0-9e76-937d073a99ea"]},{"id":"ITEM-4","itemData":{"author":[{"dropping-particle":"","family":"Cleary","given":"T. J.","non-dropping-particle":"","parse-names":false,"suffix":""},{"dropping-particle":"","family":"Kitsantas","given":"A.","non-dropping-particle":"","parse-names":false,"suffix":""}],"container-title":"School Psychology Review","id":"ITEM-4","issue":"1","issued":{"date-parts":[["2017"]]},"page":"88-107","title":"Motivation and self-regulated learning influences on middle school mathematics achievement","type":"article-journal","volume":"46"},"uris":["http://www.mendeley.com/documents/?uuid=aa7e5277-75b6-439e-947b-4cda169b94d9"]},{"id":"ITEM-5","itemData":{"DOI":"10.1016/B978-012109890-2/50043-3","author":[{"dropping-particle":"","family":"Pintrich","given":"P. R.","non-dropping-particle":"","parse-names":false,"suffix":""}],"container-title":"Handbook of Self-Regulation","id":"ITEM-5","issued":{"date-parts":[["2000"]]},"page":"451-502","publisher":"Academic Press","publisher-place":"San Diego, California","title":"Chapter 14 - The Role of Goal Orientation in Self-Regulated Learning","type":"chapter"},"uris":["http://www.mendeley.com/documents/?uuid=0d46023d-1b98-4b93-b1e8-94161f201c29"]},{"id":"ITEM-6","itemData":{"DOI":"10.1016/j.compedu.2015.03.003","author":[{"dropping-particle":"","family":"Vonkova","given":"H.","non-dropping-particle":"","parse-names":false,"suffix":""},{"dropping-particle":"","family":"Hrabak","given":"J.","non-dropping-particle":"","parse-names":false,"suffix":""}],"container-title":"Computers &amp; Education","id":"ITEM-6","issued":{"date-parts":[["2015"]]},"page":"191-202","title":"The (in) comparability of ICT knowledge and skill self-assessments among upper secondary school students: The use of the anchoring vignette method","type":"article-journal","volume":"85"},"uris":["http://www.mendeley.com/documents/?uuid=739d5d25-64ab-4869-b320-24a316bde488"]}],"mendeley":{"formattedCitation":"[8]–[13]","plainTextFormattedCitation":"[8]–[13]","previouslyFormattedCitation":"[8]–[13]"},"properties":{"noteIndex":0},"schema":"https://github.com/citation-style-language/schema/raw/master/csl-citation.json"}</w:instrText>
      </w:r>
      <w:r w:rsidR="003E23A5" w:rsidRPr="00763C7D">
        <w:fldChar w:fldCharType="separate"/>
      </w:r>
      <w:r w:rsidR="003E23A5" w:rsidRPr="00763C7D">
        <w:rPr>
          <w:noProof/>
        </w:rPr>
        <w:t>[8]–[13]</w:t>
      </w:r>
      <w:r w:rsidR="003E23A5" w:rsidRPr="00763C7D">
        <w:fldChar w:fldCharType="end"/>
      </w:r>
      <w:r w:rsidR="003E23A5" w:rsidRPr="00763C7D">
        <w:rPr>
          <w:lang w:val="id-ID"/>
        </w:rPr>
        <w:t xml:space="preserve">. </w:t>
      </w:r>
      <w:r w:rsidR="00FF1E99" w:rsidRPr="00763C7D">
        <w:rPr>
          <w:lang w:val="id-ID"/>
        </w:rPr>
        <w:t xml:space="preserve">Figure 2(a) shown </w:t>
      </w:r>
      <w:r w:rsidR="00FF1E99" w:rsidRPr="00292BD7">
        <w:t>math representation ability students</w:t>
      </w:r>
      <w:r w:rsidR="00FF1E99" w:rsidRPr="00763C7D">
        <w:rPr>
          <w:lang w:val="id-ID"/>
        </w:rPr>
        <w:t xml:space="preserve"> and Figure 2(b) </w:t>
      </w:r>
      <w:r w:rsidR="00FF1E99" w:rsidRPr="00452607">
        <w:t>reasoning ability students</w:t>
      </w:r>
      <w:r w:rsidR="00FF1E99" w:rsidRPr="00763C7D">
        <w:rPr>
          <w:lang w:val="id-ID"/>
        </w:rPr>
        <w:t>.</w:t>
      </w:r>
    </w:p>
    <w:bookmarkEnd w:id="7"/>
    <w:p w14:paraId="1438C079" w14:textId="77777777" w:rsidR="003E23A5" w:rsidRPr="00763C7D" w:rsidRDefault="003E23A5" w:rsidP="003E23A5">
      <w:pPr>
        <w:rPr>
          <w:b/>
          <w:bCs/>
        </w:rPr>
      </w:pPr>
    </w:p>
    <w:p w14:paraId="603CAA69" w14:textId="77777777" w:rsidR="003E23A5" w:rsidRPr="00763C7D" w:rsidRDefault="003E23A5" w:rsidP="003E23A5">
      <w:pPr>
        <w:rPr>
          <w:b/>
          <w:bCs/>
        </w:rPr>
      </w:pPr>
    </w:p>
    <w:p w14:paraId="2B10FC00" w14:textId="1E6491D9" w:rsidR="00846269" w:rsidRPr="00763C7D" w:rsidRDefault="000A71C9" w:rsidP="00846269">
      <w:pPr>
        <w:jc w:val="center"/>
        <w:rPr>
          <w:noProof/>
          <w:lang w:val="id-ID"/>
        </w:rPr>
      </w:pPr>
      <w:r w:rsidRPr="00391D6F">
        <w:rPr>
          <w:b/>
          <w:bCs/>
          <w:noProof/>
        </w:rPr>
        <w:drawing>
          <wp:inline distT="0" distB="0" distL="0" distR="0" wp14:anchorId="133BEB61" wp14:editId="6206AFF9">
            <wp:extent cx="4075430" cy="1205424"/>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372"/>
                    <a:stretch/>
                  </pic:blipFill>
                  <pic:spPr bwMode="auto">
                    <a:xfrm>
                      <a:off x="0" y="0"/>
                      <a:ext cx="4152953" cy="1228354"/>
                    </a:xfrm>
                    <a:prstGeom prst="rect">
                      <a:avLst/>
                    </a:prstGeom>
                    <a:ln>
                      <a:noFill/>
                    </a:ln>
                    <a:extLst>
                      <a:ext uri="{53640926-AAD7-44D8-BBD7-CCE9431645EC}">
                        <a14:shadowObscured xmlns:a14="http://schemas.microsoft.com/office/drawing/2010/main"/>
                      </a:ext>
                    </a:extLst>
                  </pic:spPr>
                </pic:pic>
              </a:graphicData>
            </a:graphic>
          </wp:inline>
        </w:drawing>
      </w:r>
    </w:p>
    <w:p w14:paraId="45A0647E" w14:textId="77777777" w:rsidR="00846269" w:rsidRPr="00763C7D" w:rsidRDefault="00846269" w:rsidP="00846269">
      <w:pPr>
        <w:jc w:val="center"/>
        <w:rPr>
          <w:lang w:val="id-ID"/>
        </w:rPr>
      </w:pPr>
    </w:p>
    <w:p w14:paraId="353BFD1B" w14:textId="042E1E49" w:rsidR="00846269" w:rsidRPr="00763C7D" w:rsidRDefault="00846269" w:rsidP="00846269">
      <w:pPr>
        <w:jc w:val="center"/>
        <w:rPr>
          <w:b/>
          <w:bCs/>
        </w:rPr>
      </w:pPr>
      <w:r w:rsidRPr="00763C7D">
        <w:rPr>
          <w:lang w:val="id-ID"/>
        </w:rPr>
        <w:t xml:space="preserve">Figure 1. </w:t>
      </w:r>
      <w:r w:rsidR="00816E21" w:rsidRPr="00816E21">
        <w:rPr>
          <w:rFonts w:eastAsia="Garamond"/>
          <w:color w:val="000000"/>
        </w:rPr>
        <w:t>Cognitive process dimension</w:t>
      </w:r>
    </w:p>
    <w:p w14:paraId="1F3586A4" w14:textId="6436209B" w:rsidR="003E23A5" w:rsidRDefault="003E23A5" w:rsidP="003E23A5">
      <w:pPr>
        <w:jc w:val="center"/>
        <w:rPr>
          <w:b/>
          <w:bCs/>
        </w:rPr>
      </w:pPr>
    </w:p>
    <w:p w14:paraId="0B8DC10A" w14:textId="77777777" w:rsidR="00E30D58" w:rsidRPr="00763C7D" w:rsidRDefault="00E30D58" w:rsidP="003E23A5">
      <w:pPr>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536"/>
      </w:tblGrid>
      <w:tr w:rsidR="00FF1E99" w:rsidRPr="00763C7D" w14:paraId="5A8D0A02" w14:textId="77777777" w:rsidTr="00D27CC0">
        <w:trPr>
          <w:jc w:val="center"/>
        </w:trPr>
        <w:tc>
          <w:tcPr>
            <w:tcW w:w="4361" w:type="dxa"/>
            <w:vAlign w:val="center"/>
          </w:tcPr>
          <w:p w14:paraId="3339C78D" w14:textId="77777777" w:rsidR="00FF1E99" w:rsidRPr="00763C7D" w:rsidRDefault="00FF1E99" w:rsidP="00D27CC0">
            <w:pPr>
              <w:jc w:val="center"/>
              <w:rPr>
                <w:b/>
                <w:bCs/>
              </w:rPr>
            </w:pPr>
            <w:r>
              <w:rPr>
                <w:noProof/>
                <w:lang w:val="en-AU" w:eastAsia="en-AU"/>
              </w:rPr>
              <w:drawing>
                <wp:inline distT="0" distB="0" distL="0" distR="0" wp14:anchorId="331AC0EF" wp14:editId="58EFE985">
                  <wp:extent cx="2722882" cy="17430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069" t="7572" r="5075" b="4828"/>
                          <a:stretch/>
                        </pic:blipFill>
                        <pic:spPr bwMode="auto">
                          <a:xfrm>
                            <a:off x="0" y="0"/>
                            <a:ext cx="2729689" cy="1747433"/>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vAlign w:val="center"/>
          </w:tcPr>
          <w:p w14:paraId="4AA94370" w14:textId="77777777" w:rsidR="00FF1E99" w:rsidRPr="00763C7D" w:rsidRDefault="00FF1E99" w:rsidP="00D27CC0">
            <w:pPr>
              <w:jc w:val="center"/>
              <w:rPr>
                <w:b/>
                <w:bCs/>
              </w:rPr>
            </w:pPr>
            <w:r>
              <w:rPr>
                <w:noProof/>
                <w:lang w:val="en-AU" w:eastAsia="en-AU"/>
              </w:rPr>
              <w:drawing>
                <wp:inline distT="0" distB="0" distL="0" distR="0" wp14:anchorId="5221CC56" wp14:editId="52915855">
                  <wp:extent cx="2686050" cy="171251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97" t="7827" r="4602" b="8640"/>
                          <a:stretch/>
                        </pic:blipFill>
                        <pic:spPr bwMode="auto">
                          <a:xfrm>
                            <a:off x="0" y="0"/>
                            <a:ext cx="2701255" cy="1722212"/>
                          </a:xfrm>
                          <a:prstGeom prst="rect">
                            <a:avLst/>
                          </a:prstGeom>
                          <a:ln>
                            <a:noFill/>
                          </a:ln>
                          <a:extLst>
                            <a:ext uri="{53640926-AAD7-44D8-BBD7-CCE9431645EC}">
                              <a14:shadowObscured xmlns:a14="http://schemas.microsoft.com/office/drawing/2010/main"/>
                            </a:ext>
                          </a:extLst>
                        </pic:spPr>
                      </pic:pic>
                    </a:graphicData>
                  </a:graphic>
                </wp:inline>
              </w:drawing>
            </w:r>
          </w:p>
        </w:tc>
      </w:tr>
      <w:tr w:rsidR="00FF1E99" w:rsidRPr="00763C7D" w14:paraId="11B97FEC" w14:textId="77777777" w:rsidTr="00D27CC0">
        <w:trPr>
          <w:jc w:val="center"/>
        </w:trPr>
        <w:tc>
          <w:tcPr>
            <w:tcW w:w="4361" w:type="dxa"/>
          </w:tcPr>
          <w:p w14:paraId="6FC5E543" w14:textId="77777777" w:rsidR="00FF1E99" w:rsidRPr="00763C7D" w:rsidRDefault="00FF1E99" w:rsidP="00D27CC0">
            <w:pPr>
              <w:jc w:val="center"/>
              <w:rPr>
                <w:b/>
                <w:bCs/>
                <w:lang w:val="en-GB"/>
              </w:rPr>
            </w:pPr>
            <w:r w:rsidRPr="00763C7D">
              <w:rPr>
                <w:lang w:val="en-GB"/>
              </w:rPr>
              <w:t>(a)</w:t>
            </w:r>
          </w:p>
        </w:tc>
        <w:tc>
          <w:tcPr>
            <w:tcW w:w="4536" w:type="dxa"/>
          </w:tcPr>
          <w:p w14:paraId="15F922D2" w14:textId="77777777" w:rsidR="00FF1E99" w:rsidRPr="00763C7D" w:rsidRDefault="00FF1E99" w:rsidP="00D27CC0">
            <w:pPr>
              <w:jc w:val="center"/>
              <w:rPr>
                <w:b/>
                <w:bCs/>
                <w:lang w:val="en-GB"/>
              </w:rPr>
            </w:pPr>
            <w:r w:rsidRPr="00763C7D">
              <w:rPr>
                <w:lang w:val="en-GB"/>
              </w:rPr>
              <w:t>(b)</w:t>
            </w:r>
          </w:p>
        </w:tc>
      </w:tr>
      <w:tr w:rsidR="00FF1E99" w:rsidRPr="00763C7D" w14:paraId="0E99889E" w14:textId="77777777" w:rsidTr="00D27CC0">
        <w:trPr>
          <w:jc w:val="center"/>
        </w:trPr>
        <w:tc>
          <w:tcPr>
            <w:tcW w:w="8897" w:type="dxa"/>
            <w:gridSpan w:val="2"/>
          </w:tcPr>
          <w:p w14:paraId="146D4BF7" w14:textId="77777777" w:rsidR="00FF1E99" w:rsidRPr="00763C7D" w:rsidRDefault="00FF1E99" w:rsidP="00D27CC0">
            <w:pPr>
              <w:jc w:val="center"/>
              <w:rPr>
                <w:lang w:val="id-ID"/>
              </w:rPr>
            </w:pPr>
          </w:p>
          <w:p w14:paraId="4008044B" w14:textId="5689DF8D" w:rsidR="00FF1E99" w:rsidRPr="00763C7D" w:rsidRDefault="00FF1E99" w:rsidP="00D27CC0">
            <w:pPr>
              <w:jc w:val="center"/>
            </w:pPr>
            <w:r w:rsidRPr="00763C7D">
              <w:rPr>
                <w:lang w:val="id-ID"/>
              </w:rPr>
              <w:t xml:space="preserve">Figure 2. </w:t>
            </w:r>
            <w:r w:rsidRPr="00292BD7">
              <w:t>Pretest, posttest, and N-gain</w:t>
            </w:r>
            <w:r w:rsidR="006711E1">
              <w:t xml:space="preserve"> for</w:t>
            </w:r>
            <w:r w:rsidRPr="00763C7D">
              <w:t xml:space="preserve"> </w:t>
            </w:r>
            <w:r w:rsidRPr="00763C7D">
              <w:rPr>
                <w:lang w:val="en-GB"/>
              </w:rPr>
              <w:t xml:space="preserve">(a) </w:t>
            </w:r>
            <w:r w:rsidRPr="00292BD7">
              <w:t>math representation ability students</w:t>
            </w:r>
            <w:r w:rsidR="006711E1">
              <w:t xml:space="preserve"> and</w:t>
            </w:r>
            <w:r w:rsidRPr="00763C7D">
              <w:t xml:space="preserve"> (b) </w:t>
            </w:r>
            <w:r w:rsidRPr="00452607">
              <w:t>reasoning ability students</w:t>
            </w:r>
          </w:p>
        </w:tc>
      </w:tr>
    </w:tbl>
    <w:p w14:paraId="10DEECA6" w14:textId="226F1E48" w:rsidR="003E23A5" w:rsidRPr="00763C7D" w:rsidRDefault="003E23A5" w:rsidP="003E23A5">
      <w:pPr>
        <w:jc w:val="center"/>
      </w:pPr>
      <w:r w:rsidRPr="00763C7D">
        <w:t>Table 1. Internal consistency reliability of biology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305"/>
        <w:gridCol w:w="1002"/>
      </w:tblGrid>
      <w:tr w:rsidR="003E23A5" w:rsidRPr="00763C7D" w14:paraId="2B6EE7A7" w14:textId="77777777" w:rsidTr="00BC03E2">
        <w:trPr>
          <w:jc w:val="center"/>
        </w:trPr>
        <w:tc>
          <w:tcPr>
            <w:tcW w:w="956" w:type="dxa"/>
            <w:tcBorders>
              <w:top w:val="single" w:sz="4" w:space="0" w:color="auto"/>
              <w:bottom w:val="single" w:sz="4" w:space="0" w:color="auto"/>
            </w:tcBorders>
          </w:tcPr>
          <w:p w14:paraId="532948D0" w14:textId="77777777" w:rsidR="003E23A5" w:rsidRPr="00763C7D" w:rsidRDefault="003E23A5" w:rsidP="00C2472D">
            <w:pPr>
              <w:jc w:val="center"/>
              <w:rPr>
                <w:sz w:val="16"/>
                <w:szCs w:val="16"/>
              </w:rPr>
            </w:pPr>
            <w:r w:rsidRPr="00763C7D">
              <w:rPr>
                <w:sz w:val="16"/>
                <w:szCs w:val="16"/>
              </w:rPr>
              <w:t>SN</w:t>
            </w:r>
          </w:p>
        </w:tc>
        <w:tc>
          <w:tcPr>
            <w:tcW w:w="2305" w:type="dxa"/>
            <w:tcBorders>
              <w:top w:val="single" w:sz="4" w:space="0" w:color="auto"/>
              <w:bottom w:val="single" w:sz="4" w:space="0" w:color="auto"/>
            </w:tcBorders>
          </w:tcPr>
          <w:p w14:paraId="71DB295A" w14:textId="77777777" w:rsidR="003E23A5" w:rsidRPr="00763C7D" w:rsidRDefault="003E23A5" w:rsidP="00C2472D">
            <w:pPr>
              <w:jc w:val="center"/>
              <w:rPr>
                <w:sz w:val="16"/>
                <w:szCs w:val="16"/>
              </w:rPr>
            </w:pPr>
            <w:r w:rsidRPr="00763C7D">
              <w:rPr>
                <w:sz w:val="16"/>
                <w:szCs w:val="16"/>
              </w:rPr>
              <w:t>Indicator</w:t>
            </w:r>
          </w:p>
        </w:tc>
        <w:tc>
          <w:tcPr>
            <w:tcW w:w="1002" w:type="dxa"/>
            <w:tcBorders>
              <w:top w:val="single" w:sz="4" w:space="0" w:color="auto"/>
              <w:bottom w:val="single" w:sz="4" w:space="0" w:color="auto"/>
            </w:tcBorders>
          </w:tcPr>
          <w:p w14:paraId="7FCE6112" w14:textId="77777777" w:rsidR="003E23A5" w:rsidRPr="00763C7D" w:rsidRDefault="003E23A5" w:rsidP="00C2472D">
            <w:pPr>
              <w:jc w:val="center"/>
              <w:rPr>
                <w:sz w:val="16"/>
                <w:szCs w:val="16"/>
              </w:rPr>
            </w:pPr>
            <w:r w:rsidRPr="00763C7D">
              <w:rPr>
                <w:sz w:val="16"/>
                <w:szCs w:val="16"/>
              </w:rPr>
              <w:t>Value</w:t>
            </w:r>
          </w:p>
        </w:tc>
      </w:tr>
      <w:tr w:rsidR="003E23A5" w:rsidRPr="00763C7D" w14:paraId="168CEF2B" w14:textId="77777777" w:rsidTr="00BC03E2">
        <w:trPr>
          <w:jc w:val="center"/>
        </w:trPr>
        <w:tc>
          <w:tcPr>
            <w:tcW w:w="956" w:type="dxa"/>
            <w:tcBorders>
              <w:top w:val="single" w:sz="4" w:space="0" w:color="auto"/>
            </w:tcBorders>
          </w:tcPr>
          <w:p w14:paraId="58B9ABBC" w14:textId="77777777" w:rsidR="003E23A5" w:rsidRPr="00763C7D" w:rsidRDefault="003E23A5" w:rsidP="00C2472D">
            <w:pPr>
              <w:jc w:val="center"/>
              <w:rPr>
                <w:sz w:val="16"/>
                <w:szCs w:val="16"/>
              </w:rPr>
            </w:pPr>
            <w:r w:rsidRPr="00763C7D">
              <w:rPr>
                <w:sz w:val="16"/>
                <w:szCs w:val="16"/>
              </w:rPr>
              <w:lastRenderedPageBreak/>
              <w:t>1</w:t>
            </w:r>
          </w:p>
        </w:tc>
        <w:tc>
          <w:tcPr>
            <w:tcW w:w="2305" w:type="dxa"/>
            <w:tcBorders>
              <w:top w:val="single" w:sz="4" w:space="0" w:color="auto"/>
            </w:tcBorders>
          </w:tcPr>
          <w:p w14:paraId="65FE42BB" w14:textId="77777777" w:rsidR="003E23A5" w:rsidRPr="00763C7D" w:rsidRDefault="003E23A5" w:rsidP="00BC03E2">
            <w:pPr>
              <w:rPr>
                <w:sz w:val="16"/>
                <w:szCs w:val="16"/>
              </w:rPr>
            </w:pPr>
            <w:r w:rsidRPr="00763C7D">
              <w:rPr>
                <w:sz w:val="16"/>
                <w:szCs w:val="16"/>
              </w:rPr>
              <w:t>Number of Item</w:t>
            </w:r>
          </w:p>
        </w:tc>
        <w:tc>
          <w:tcPr>
            <w:tcW w:w="1002" w:type="dxa"/>
            <w:tcBorders>
              <w:top w:val="single" w:sz="4" w:space="0" w:color="auto"/>
            </w:tcBorders>
          </w:tcPr>
          <w:p w14:paraId="6652EE4D" w14:textId="77777777" w:rsidR="003E23A5" w:rsidRPr="00763C7D" w:rsidRDefault="003E23A5" w:rsidP="00C2472D">
            <w:pPr>
              <w:jc w:val="center"/>
              <w:rPr>
                <w:sz w:val="16"/>
                <w:szCs w:val="16"/>
              </w:rPr>
            </w:pPr>
            <w:r w:rsidRPr="00763C7D">
              <w:rPr>
                <w:sz w:val="16"/>
                <w:szCs w:val="16"/>
              </w:rPr>
              <w:t>60</w:t>
            </w:r>
          </w:p>
        </w:tc>
      </w:tr>
      <w:tr w:rsidR="003E23A5" w:rsidRPr="00763C7D" w14:paraId="380495AD" w14:textId="77777777" w:rsidTr="00BC03E2">
        <w:trPr>
          <w:jc w:val="center"/>
        </w:trPr>
        <w:tc>
          <w:tcPr>
            <w:tcW w:w="956" w:type="dxa"/>
          </w:tcPr>
          <w:p w14:paraId="37C00D61" w14:textId="77777777" w:rsidR="003E23A5" w:rsidRPr="00763C7D" w:rsidRDefault="003E23A5" w:rsidP="00C2472D">
            <w:pPr>
              <w:jc w:val="center"/>
              <w:rPr>
                <w:sz w:val="16"/>
                <w:szCs w:val="16"/>
              </w:rPr>
            </w:pPr>
            <w:r w:rsidRPr="00763C7D">
              <w:rPr>
                <w:sz w:val="16"/>
                <w:szCs w:val="16"/>
              </w:rPr>
              <w:t>2</w:t>
            </w:r>
          </w:p>
        </w:tc>
        <w:tc>
          <w:tcPr>
            <w:tcW w:w="2305" w:type="dxa"/>
          </w:tcPr>
          <w:p w14:paraId="5DCE0406" w14:textId="77777777" w:rsidR="003E23A5" w:rsidRPr="00763C7D" w:rsidRDefault="003E23A5" w:rsidP="00BC03E2">
            <w:pPr>
              <w:rPr>
                <w:sz w:val="16"/>
                <w:szCs w:val="16"/>
              </w:rPr>
            </w:pPr>
            <w:r w:rsidRPr="00763C7D">
              <w:rPr>
                <w:sz w:val="16"/>
                <w:szCs w:val="16"/>
              </w:rPr>
              <w:t>Kuder Richardson (KR-20)</w:t>
            </w:r>
          </w:p>
        </w:tc>
        <w:tc>
          <w:tcPr>
            <w:tcW w:w="1002" w:type="dxa"/>
          </w:tcPr>
          <w:p w14:paraId="437D4674" w14:textId="77777777" w:rsidR="003E23A5" w:rsidRPr="00763C7D" w:rsidRDefault="003E23A5" w:rsidP="00C2472D">
            <w:pPr>
              <w:jc w:val="center"/>
              <w:rPr>
                <w:sz w:val="16"/>
                <w:szCs w:val="16"/>
              </w:rPr>
            </w:pPr>
            <w:r w:rsidRPr="00763C7D">
              <w:rPr>
                <w:sz w:val="16"/>
                <w:szCs w:val="16"/>
              </w:rPr>
              <w:t>0.620</w:t>
            </w:r>
          </w:p>
        </w:tc>
      </w:tr>
      <w:tr w:rsidR="003E23A5" w:rsidRPr="00763C7D" w14:paraId="7D23149D" w14:textId="77777777" w:rsidTr="00BC03E2">
        <w:trPr>
          <w:jc w:val="center"/>
        </w:trPr>
        <w:tc>
          <w:tcPr>
            <w:tcW w:w="956" w:type="dxa"/>
          </w:tcPr>
          <w:p w14:paraId="22EED6E8" w14:textId="77777777" w:rsidR="003E23A5" w:rsidRPr="00763C7D" w:rsidRDefault="003E23A5" w:rsidP="00C2472D">
            <w:pPr>
              <w:jc w:val="center"/>
              <w:rPr>
                <w:sz w:val="16"/>
                <w:szCs w:val="16"/>
              </w:rPr>
            </w:pPr>
            <w:r w:rsidRPr="00763C7D">
              <w:rPr>
                <w:sz w:val="16"/>
                <w:szCs w:val="16"/>
              </w:rPr>
              <w:t>3</w:t>
            </w:r>
          </w:p>
        </w:tc>
        <w:tc>
          <w:tcPr>
            <w:tcW w:w="2305" w:type="dxa"/>
          </w:tcPr>
          <w:p w14:paraId="3FB73994" w14:textId="77777777" w:rsidR="003E23A5" w:rsidRPr="00763C7D" w:rsidRDefault="003E23A5" w:rsidP="00BC03E2">
            <w:pPr>
              <w:rPr>
                <w:sz w:val="16"/>
                <w:szCs w:val="16"/>
              </w:rPr>
            </w:pPr>
            <w:r w:rsidRPr="00763C7D">
              <w:rPr>
                <w:sz w:val="16"/>
                <w:szCs w:val="16"/>
              </w:rPr>
              <w:t>Cronbach's Alpha Based on Standardized Items</w:t>
            </w:r>
          </w:p>
        </w:tc>
        <w:tc>
          <w:tcPr>
            <w:tcW w:w="1002" w:type="dxa"/>
          </w:tcPr>
          <w:p w14:paraId="7328BE8D" w14:textId="77777777" w:rsidR="003E23A5" w:rsidRPr="00763C7D" w:rsidRDefault="003E23A5" w:rsidP="00C2472D">
            <w:pPr>
              <w:jc w:val="center"/>
              <w:rPr>
                <w:sz w:val="16"/>
                <w:szCs w:val="16"/>
              </w:rPr>
            </w:pPr>
            <w:r w:rsidRPr="00763C7D">
              <w:rPr>
                <w:sz w:val="16"/>
                <w:szCs w:val="16"/>
              </w:rPr>
              <w:t>0.617</w:t>
            </w:r>
          </w:p>
        </w:tc>
      </w:tr>
      <w:tr w:rsidR="003E23A5" w:rsidRPr="00763C7D" w14:paraId="39979A1C" w14:textId="77777777" w:rsidTr="00BC03E2">
        <w:trPr>
          <w:jc w:val="center"/>
        </w:trPr>
        <w:tc>
          <w:tcPr>
            <w:tcW w:w="956" w:type="dxa"/>
          </w:tcPr>
          <w:p w14:paraId="45DAD2BB" w14:textId="77777777" w:rsidR="003E23A5" w:rsidRPr="00763C7D" w:rsidRDefault="003E23A5" w:rsidP="00C2472D">
            <w:pPr>
              <w:jc w:val="center"/>
              <w:rPr>
                <w:sz w:val="16"/>
                <w:szCs w:val="16"/>
              </w:rPr>
            </w:pPr>
            <w:r w:rsidRPr="00763C7D">
              <w:rPr>
                <w:sz w:val="16"/>
                <w:szCs w:val="16"/>
              </w:rPr>
              <w:t>4</w:t>
            </w:r>
          </w:p>
        </w:tc>
        <w:tc>
          <w:tcPr>
            <w:tcW w:w="2305" w:type="dxa"/>
          </w:tcPr>
          <w:p w14:paraId="76D327F9" w14:textId="77777777" w:rsidR="003E23A5" w:rsidRPr="00763C7D" w:rsidRDefault="003E23A5" w:rsidP="00BC03E2">
            <w:pPr>
              <w:rPr>
                <w:sz w:val="16"/>
                <w:szCs w:val="16"/>
              </w:rPr>
            </w:pPr>
            <w:r w:rsidRPr="00763C7D">
              <w:rPr>
                <w:sz w:val="16"/>
                <w:szCs w:val="16"/>
              </w:rPr>
              <w:t>Mean Item Difficulty</w:t>
            </w:r>
          </w:p>
        </w:tc>
        <w:tc>
          <w:tcPr>
            <w:tcW w:w="1002" w:type="dxa"/>
          </w:tcPr>
          <w:p w14:paraId="1DB165B5" w14:textId="77777777" w:rsidR="003E23A5" w:rsidRPr="00763C7D" w:rsidRDefault="003E23A5" w:rsidP="00C2472D">
            <w:pPr>
              <w:jc w:val="center"/>
              <w:rPr>
                <w:sz w:val="16"/>
                <w:szCs w:val="16"/>
              </w:rPr>
            </w:pPr>
            <w:r w:rsidRPr="00763C7D">
              <w:rPr>
                <w:sz w:val="16"/>
                <w:szCs w:val="16"/>
              </w:rPr>
              <w:t>0.56</w:t>
            </w:r>
          </w:p>
        </w:tc>
      </w:tr>
      <w:tr w:rsidR="003E23A5" w:rsidRPr="00763C7D" w14:paraId="5790A79D" w14:textId="77777777" w:rsidTr="00BC03E2">
        <w:trPr>
          <w:jc w:val="center"/>
        </w:trPr>
        <w:tc>
          <w:tcPr>
            <w:tcW w:w="956" w:type="dxa"/>
          </w:tcPr>
          <w:p w14:paraId="07FFF759" w14:textId="77777777" w:rsidR="003E23A5" w:rsidRPr="00763C7D" w:rsidRDefault="003E23A5" w:rsidP="00C2472D">
            <w:pPr>
              <w:jc w:val="center"/>
              <w:rPr>
                <w:sz w:val="16"/>
                <w:szCs w:val="16"/>
              </w:rPr>
            </w:pPr>
            <w:r w:rsidRPr="00763C7D">
              <w:rPr>
                <w:sz w:val="16"/>
                <w:szCs w:val="16"/>
              </w:rPr>
              <w:t>5</w:t>
            </w:r>
          </w:p>
        </w:tc>
        <w:tc>
          <w:tcPr>
            <w:tcW w:w="2305" w:type="dxa"/>
          </w:tcPr>
          <w:p w14:paraId="01C0B647" w14:textId="77777777" w:rsidR="003E23A5" w:rsidRPr="00763C7D" w:rsidRDefault="003E23A5" w:rsidP="00BC03E2">
            <w:pPr>
              <w:rPr>
                <w:sz w:val="16"/>
                <w:szCs w:val="16"/>
              </w:rPr>
            </w:pPr>
            <w:r w:rsidRPr="00763C7D">
              <w:rPr>
                <w:sz w:val="16"/>
                <w:szCs w:val="16"/>
              </w:rPr>
              <w:t>Mean Item Difficulty</w:t>
            </w:r>
          </w:p>
        </w:tc>
        <w:tc>
          <w:tcPr>
            <w:tcW w:w="1002" w:type="dxa"/>
          </w:tcPr>
          <w:p w14:paraId="591D63F6" w14:textId="77777777" w:rsidR="003E23A5" w:rsidRPr="00763C7D" w:rsidRDefault="003E23A5" w:rsidP="00C2472D">
            <w:pPr>
              <w:jc w:val="center"/>
              <w:rPr>
                <w:sz w:val="16"/>
                <w:szCs w:val="16"/>
              </w:rPr>
            </w:pPr>
            <w:r w:rsidRPr="00763C7D">
              <w:rPr>
                <w:sz w:val="16"/>
                <w:szCs w:val="16"/>
              </w:rPr>
              <w:t>0.4</w:t>
            </w:r>
          </w:p>
        </w:tc>
      </w:tr>
    </w:tbl>
    <w:p w14:paraId="345D055F" w14:textId="60792776" w:rsidR="00354A58" w:rsidRDefault="00354A58" w:rsidP="00354A58">
      <w:pPr>
        <w:jc w:val="center"/>
        <w:rPr>
          <w:lang w:val="id-ID"/>
        </w:rPr>
      </w:pPr>
    </w:p>
    <w:p w14:paraId="22EBB86E" w14:textId="77777777" w:rsidR="00846269" w:rsidRPr="003D6B19" w:rsidRDefault="00846269" w:rsidP="00354A58">
      <w:pPr>
        <w:jc w:val="center"/>
        <w:rPr>
          <w:lang w:val="id-ID"/>
        </w:rPr>
      </w:pPr>
    </w:p>
    <w:bookmarkEnd w:id="6"/>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3D695A"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the reader understand easily</w:t>
      </w:r>
      <w:r w:rsidR="003E23A5" w:rsidRPr="00763C7D">
        <w:t xml:space="preserve"> </w:t>
      </w:r>
      <w:r w:rsidR="003E23A5" w:rsidRPr="00763C7D">
        <w:fldChar w:fldCharType="begin" w:fldLock="1"/>
      </w:r>
      <w:r w:rsidR="003E23A5" w:rsidRPr="00763C7D">
        <w:instrText>ADDIN CSL_CITATION {"citationItems":[{"id":"ITEM-1","itemData":{"DOI":"10.1111/bjep.12256","author":[{"dropping-particle":"","family":"Baier","given":"F.","non-dropping-particle":"","parse-names":false,"suffix":""},{"dropping-particle":"","family":"Decker","given":"A.-T.","non-dropping-particle":"","parse-names":false,"suffix":""},{"dropping-particle":"","family":"Voss","given":"T.","non-dropping-particle":"","parse-names":false,"suffix":""},{"dropping-particle":"","family":"Kleickmann","given":"T.","non-dropping-particle":"","parse-names":false,"suffix":""},{"dropping-particle":"","family":"Klusmann","given":"U.","non-dropping-particle":"","parse-names":false,"suffix":""},{"dropping-particle":"","family":"Kunter","given":"M.","non-dropping-particle":"","parse-names":false,"suffix":""}],"container-title":"British Journal of Educational Psychology","id":"ITEM-1","issue":"4","issued":{"date-parts":[["2019"]]},"page":"767-786","title":"What makes a good teacher? The relative importance of mathematics teachers’ cognitive ability, personality, knowledge, beliefs, and motivation for instructional quality","type":"article-journal","volume":"89"},"uris":["http://www.mendeley.com/documents/?uuid=21136efe-8a77-4cf7-95d9-19e2d3c58128"]}],"mendeley":{"formattedCitation":"[14]","plainTextFormattedCitation":"[14]","previouslyFormattedCitation":"[14]"},"properties":{"noteIndex":0},"schema":"https://github.com/citation-style-language/schema/raw/master/csl-citation.json"}</w:instrText>
      </w:r>
      <w:r w:rsidR="003E23A5" w:rsidRPr="00763C7D">
        <w:fldChar w:fldCharType="separate"/>
      </w:r>
      <w:r w:rsidR="003E23A5" w:rsidRPr="00763C7D">
        <w:rPr>
          <w:noProof/>
        </w:rPr>
        <w:t>[14]</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{"citationItems":[{"id":"ITEM-1","itemData":{"DOI":"10.1007/s11218-020-09590-y","author":[{"dropping-particle":"","family":"Flanagan","given":"A. M.","non-dropping-particle":"","parse-names":false,"suffix":""},{"dropping-particle":"","family":"Cormier","given":"D. C.","non-dropping-particle":"","parse-names":false,"suffix":""},{"dropping-particle":"","family":"Bulut","given":"O.","non-dropping-particle":"","parse-names":false,"suffix":""}],"container-title":"Social Psychology of Education","id":"ITEM-1","issued":{"date-parts":[["2020"]]},"page":"1429-1448","title":"Achievement may be rooted in teacher expectations: examining the differential influences of ethnicity, years of teaching, and classroom behaviour","type":"article-journal","volume":"23"},"uris":["http://www.mendeley.com/documents/?uuid=9fa14d29-a1b8-41b7-8bf0-a9210e943c7d"]}],"mendeley":{"formattedCitation":"[15]","plainTextFormattedCitation":"[15]","previouslyFormattedCitation":"[15]"},"properties":{"noteIndex":0},"schema":"https://github.com/citation-style-language/schema/raw/master/csl-citation.json"}</w:instrText>
      </w:r>
      <w:r w:rsidR="003E23A5" w:rsidRPr="00763C7D">
        <w:fldChar w:fldCharType="separate"/>
      </w:r>
      <w:r w:rsidR="003E23A5" w:rsidRPr="00763C7D">
        <w:rPr>
          <w:noProof/>
        </w:rPr>
        <w:t>[15]</w:t>
      </w:r>
      <w:r w:rsidR="003E23A5" w:rsidRPr="00763C7D">
        <w:fldChar w:fldCharType="end"/>
      </w:r>
      <w:r w:rsidR="003E23A5" w:rsidRPr="00763C7D">
        <w:rPr>
          <w:lang w:val="id-ID"/>
        </w:rPr>
        <w:t xml:space="preserve">. </w:t>
      </w:r>
      <w:r w:rsidR="00354A58" w:rsidRPr="003D6B19">
        <w:rPr>
          <w:lang w:val="id-ID"/>
        </w:rPr>
        <w:t xml:space="preserve">The discussion can be made in several </w:t>
      </w:r>
      <w:bookmarkStart w:id="8" w:name="_Hlk78354443"/>
      <w:r w:rsidR="00354A58" w:rsidRPr="003D6B19">
        <w:rPr>
          <w:lang w:val="id-ID"/>
        </w:rPr>
        <w:t>sub-</w:t>
      </w:r>
      <w:r w:rsidR="00354A58" w:rsidRPr="003D6B19">
        <w:t>sections</w:t>
      </w:r>
      <w:r w:rsidR="00354A58" w:rsidRPr="003D6B19">
        <w:rPr>
          <w:lang w:val="id-ID"/>
        </w:rPr>
        <w:t>.</w:t>
      </w:r>
      <w:bookmarkEnd w:id="8"/>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9"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0" w:name="_Hlk79141485"/>
    </w:p>
    <w:p w14:paraId="473C0DBC" w14:textId="77777777" w:rsidR="00E619D6" w:rsidRPr="003D6B19" w:rsidRDefault="00E619D6" w:rsidP="00E619D6">
      <w:pPr>
        <w:rPr>
          <w:bCs/>
          <w:lang w:val="id-ID"/>
        </w:rPr>
      </w:pPr>
    </w:p>
    <w:p w14:paraId="6A8C919A" w14:textId="0F6A48CC" w:rsidR="004F4003" w:rsidRPr="004F4003" w:rsidRDefault="000625C9"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9"/>
    <w:bookmarkEnd w:id="10"/>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214F8794" w14:textId="01E3E07E" w:rsidR="00B149AD" w:rsidRPr="00763C7D" w:rsidRDefault="00E619D6" w:rsidP="00B149AD">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B149AD" w:rsidRPr="00763C7D">
        <w:rPr>
          <w:bCs/>
        </w:rPr>
        <w:fldChar w:fldCharType="begin" w:fldLock="1"/>
      </w:r>
      <w:r w:rsidR="00B149AD" w:rsidRPr="00763C7D">
        <w:rPr>
          <w:bCs/>
        </w:rPr>
        <w:instrText>ADDIN CSL_CITATION {"citationItems":[{"id":"ITEM-1","itemData":{"author":[{"dropping-particle":"van der","family":"Kleij","given":"F. M.","non-dropping-particle":"","parse-names":false,"suffix":""}],"container-title":"Teaching and Teacher Education","id":"ITEM-1","issue":"1","issued":{"date-parts":[["2019"]]},"page":"175-189","title":"Comparison of teacher and student perceptions of formative assessment feedback practices and association with individual student characteristics","type":"article-journal","volume":"85"},"uris":["http://www.mendeley.com/documents/?uuid=44b6d079-7f29-4810-90ea-10d5284a381f"]}],"mendeley":{"formattedCitation":"[16]","plainTextFormattedCitation":"[16]","previouslyFormattedCitation":"[16]"},"properties":{"noteIndex":0},"schema":"https://github.com/citation-style-language/schema/raw/master/csl-citation.json"}</w:instrText>
      </w:r>
      <w:r w:rsidR="00B149AD" w:rsidRPr="00763C7D">
        <w:rPr>
          <w:bCs/>
        </w:rPr>
        <w:fldChar w:fldCharType="separate"/>
      </w:r>
      <w:r w:rsidR="00B149AD" w:rsidRPr="00763C7D">
        <w:rPr>
          <w:bCs/>
          <w:noProof/>
        </w:rPr>
        <w:t>[16]</w:t>
      </w:r>
      <w:r w:rsidR="00B149AD" w:rsidRPr="00763C7D">
        <w:rPr>
          <w:bCs/>
        </w:rPr>
        <w:fldChar w:fldCharType="end"/>
      </w:r>
      <w:r w:rsidR="00B149AD" w:rsidRPr="00763C7D">
        <w:rPr>
          <w:bCs/>
          <w:lang w:val="id-ID"/>
        </w:rPr>
        <w:t xml:space="preserve"> or </w:t>
      </w:r>
      <w:r w:rsidR="00B149AD" w:rsidRPr="00763C7D">
        <w:rPr>
          <w:bCs/>
        </w:rPr>
        <w:fldChar w:fldCharType="begin" w:fldLock="1"/>
      </w:r>
      <w:r w:rsidR="00B149AD" w:rsidRPr="00763C7D">
        <w:rPr>
          <w:bCs/>
        </w:rPr>
        <w:instrText>ADDIN CSL_CITATION {"citationItems":[{"id":"ITEM-1","itemData":{"author":[{"dropping-particle":"","family":"Brockett","given":"R. G.","non-dropping-particle":"","parse-names":false,"suffix":""},{"dropping-particle":"","family":"Hiemstra","given":"R.","non-dropping-particle":"","parse-names":false,"suffix":""}],"id":"ITEM-1","issued":{"date-parts":[["2020"]]},"publisher":"Routledge","publisher-place":"London and New York","title":"Self-direction in adult learning: Perspectives on theory, research, and practice","type":"book"},"uris":["http://www.mendeley.com/documents/?uuid=05cd6955-a966-48ff-ad4d-7a5997440668"]}],"mendeley":{"formattedCitation":"[17]","plainTextFormattedCitation":"[17]","previouslyFormattedCitation":"[17]"},"properties":{"noteIndex":0},"schema":"https://github.com/citation-style-language/schema/raw/master/csl-citation.json"}</w:instrText>
      </w:r>
      <w:r w:rsidR="00B149AD" w:rsidRPr="00763C7D">
        <w:rPr>
          <w:bCs/>
        </w:rPr>
        <w:fldChar w:fldCharType="separate"/>
      </w:r>
      <w:r w:rsidR="00B149AD" w:rsidRPr="00763C7D">
        <w:rPr>
          <w:bCs/>
          <w:noProof/>
        </w:rPr>
        <w:t>[17]</w:t>
      </w:r>
      <w:r w:rsidR="00B149AD" w:rsidRPr="00763C7D">
        <w:rPr>
          <w:bCs/>
        </w:rPr>
        <w:fldChar w:fldCharType="end"/>
      </w:r>
      <w:r w:rsidR="00B149AD" w:rsidRPr="00763C7D">
        <w:rPr>
          <w:bCs/>
        </w:rPr>
        <w:t xml:space="preserve"> </w:t>
      </w:r>
      <w:r w:rsidR="00B149AD" w:rsidRPr="00763C7D">
        <w:rPr>
          <w:bCs/>
          <w:lang w:val="id-ID"/>
        </w:rPr>
        <w:t>for multiple references. The use of ”Ref</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approach.","author":[{"dropping-particle":"","family":"Hiemstra","given":"R.","non-dropping-particle":"","parse-names":false,"suffix":""},{"dropping-particle":"","family":"Brockett","given":"R. G.","non-dropping-particle":"","parse-names":false,"suffix":""}],"container-title":"Adult Education Research Conference Proceedings","id":"ITEM-1","issued":{"date-parts":[["2012"]]},"page":"155–161","title":"Reframing the Meaning of Self-Directed Learning: An Updated Modeltt","type":"paper-conference"},"uris":["http://www.mendeley.com/documents/?uuid=1a94701c-ef13-4b1a-ad3c-92e5253f5dbc"]}],"mendeley":{"formattedCitation":"[18]","plainTextFormattedCitation":"[18]","previouslyFormattedCitation":"[18]"},"properties":{"noteIndex":0},"schema":"https://github.com/citation-style-language/schema/raw/master/csl-citation.json"}</w:instrText>
      </w:r>
      <w:r w:rsidR="00B149AD" w:rsidRPr="00763C7D">
        <w:rPr>
          <w:bCs/>
        </w:rPr>
        <w:fldChar w:fldCharType="separate"/>
      </w:r>
      <w:r w:rsidR="00B149AD" w:rsidRPr="00763C7D">
        <w:rPr>
          <w:bCs/>
          <w:noProof/>
        </w:rPr>
        <w:t>[18]</w:t>
      </w:r>
      <w:r w:rsidR="00B149AD" w:rsidRPr="00763C7D">
        <w:rPr>
          <w:bCs/>
        </w:rPr>
        <w:fldChar w:fldCharType="end"/>
      </w:r>
      <w:r w:rsidR="00B149AD" w:rsidRPr="00763C7D">
        <w:rPr>
          <w:bCs/>
          <w:lang w:val="id-ID"/>
        </w:rPr>
        <w:t>...”</w:t>
      </w:r>
      <w:r w:rsidR="00B149AD" w:rsidRPr="00763C7D">
        <w:rPr>
          <w:bCs/>
        </w:rPr>
        <w:t xml:space="preserve"> </w:t>
      </w:r>
      <w:r w:rsidR="00B149AD" w:rsidRPr="00763C7D">
        <w:rPr>
          <w:bCs/>
          <w:lang w:val="id-ID"/>
        </w:rPr>
        <w:t>should be employed for any reference citation at the beginning of sentence. For any reference with more than</w:t>
      </w:r>
      <w:r w:rsidR="00B149AD" w:rsidRPr="00763C7D">
        <w:rPr>
          <w:bCs/>
        </w:rPr>
        <w:t xml:space="preserve"> </w:t>
      </w:r>
      <w:r w:rsidR="00B149AD" w:rsidRPr="00763C7D">
        <w:rPr>
          <w:bCs/>
          <w:lang w:val="id-ID"/>
        </w:rPr>
        <w:t xml:space="preserve">3 or more authors, only the first author is to be written followed by </w:t>
      </w:r>
      <w:r w:rsidR="00B149AD" w:rsidRPr="00763C7D">
        <w:rPr>
          <w:bCs/>
          <w:i/>
          <w:iCs/>
          <w:lang w:val="id-ID"/>
        </w:rPr>
        <w:t>et al</w:t>
      </w:r>
      <w:r w:rsidR="00B149AD" w:rsidRPr="00763C7D">
        <w:rPr>
          <w:bCs/>
        </w:rPr>
        <w:t>.</w:t>
      </w:r>
      <w:r w:rsidR="00B149AD" w:rsidRPr="00763C7D">
        <w:rPr>
          <w:bCs/>
          <w:lang w:val="id-ID"/>
        </w:rPr>
        <w:t xml:space="preserve"> (e.g. in</w:t>
      </w:r>
      <w:r w:rsidR="00B149AD" w:rsidRPr="00763C7D">
        <w:rPr>
          <w:bCs/>
        </w:rPr>
        <w:t xml:space="preserve"> </w:t>
      </w:r>
      <w:r w:rsidR="00B149AD" w:rsidRPr="00763C7D">
        <w:rPr>
          <w:bCs/>
        </w:rPr>
        <w:fldChar w:fldCharType="begin" w:fldLock="1"/>
      </w:r>
      <w:r w:rsidR="00B149AD" w:rsidRPr="00763C7D">
        <w:rPr>
          <w:bCs/>
        </w:rPr>
        <w:instrText>ADDIN CSL_CITATION {"citationItems":[{"id":"ITEM-1","itemData":{"DOI":"10.1186/s41239-019-0147-0","author":[{"dropping-particle":"","family":"Geng","given":"S.","non-dropping-particle":"","parse-names":false,"suffix":""},{"dropping-particle":"","family":"Law","given":"K. M. Y.","non-dropping-particle":"","parse-names":false,"suffix":""},{"dropping-particle":"","family":"Niu","given":"B.","non-dropping-particle":"","parse-names":false,"suffix":""}],"container-title":"International Journal of Educational Technology in Higher Education","id":"ITEM-1","issue":"17","issued":{"date-parts":[["2019"]]},"page":"1–22","title":"Investigating self-directed learning and technology readiness in blending learning environment","type":"article-journal","volume":"16"},"uris":["http://www.mendeley.com/documents/?uuid=42b81c64-57f1-4e53-af46-ccb9ed3bd00d"]}],"mendeley":{"formattedCitation":"[19]","plainTextFormattedCitation":"[19]","previouslyFormattedCitation":"[19]"},"properties":{"noteIndex":0},"schema":"https://github.com/citation-style-language/schema/raw/master/csl-citation.json"}</w:instrText>
      </w:r>
      <w:r w:rsidR="00B149AD" w:rsidRPr="00763C7D">
        <w:rPr>
          <w:bCs/>
        </w:rPr>
        <w:fldChar w:fldCharType="separate"/>
      </w:r>
      <w:r w:rsidR="00B149AD" w:rsidRPr="00763C7D">
        <w:rPr>
          <w:bCs/>
          <w:noProof/>
        </w:rPr>
        <w:t>[19]</w:t>
      </w:r>
      <w:r w:rsidR="00B149AD" w:rsidRPr="00763C7D">
        <w:rPr>
          <w:bCs/>
        </w:rPr>
        <w:fldChar w:fldCharType="end"/>
      </w:r>
      <w:r w:rsidR="00B149AD" w:rsidRPr="00763C7D">
        <w:rPr>
          <w:bCs/>
          <w:lang w:val="id-ID"/>
        </w:rPr>
        <w:t>). Examples of reference</w:t>
      </w:r>
      <w:r w:rsidR="00B149AD" w:rsidRPr="00763C7D">
        <w:rPr>
          <w:bCs/>
        </w:rPr>
        <w:t xml:space="preserve"> </w:t>
      </w:r>
      <w:r w:rsidR="00B149AD" w:rsidRPr="00763C7D">
        <w:rPr>
          <w:bCs/>
          <w:lang w:val="id-ID"/>
        </w:rPr>
        <w:t>items of different categories shown in the References section. Each item in the references section should be</w:t>
      </w:r>
      <w:r w:rsidR="00B149AD" w:rsidRPr="00763C7D">
        <w:rPr>
          <w:bCs/>
        </w:rPr>
        <w:t xml:space="preserve"> </w:t>
      </w:r>
      <w:r w:rsidR="00B149AD" w:rsidRPr="00763C7D">
        <w:rPr>
          <w:bCs/>
          <w:lang w:val="id-ID"/>
        </w:rPr>
        <w:t xml:space="preserve">typed using </w:t>
      </w:r>
      <w:r w:rsidR="00E11D66">
        <w:rPr>
          <w:bCs/>
        </w:rPr>
        <w:t>8</w:t>
      </w:r>
      <w:r w:rsidR="00B149AD" w:rsidRPr="00763C7D">
        <w:rPr>
          <w:bCs/>
        </w:rPr>
        <w:t xml:space="preserve"> </w:t>
      </w:r>
      <w:r w:rsidR="00B149AD" w:rsidRPr="00763C7D">
        <w:rPr>
          <w:bCs/>
          <w:lang w:val="id-ID"/>
        </w:rPr>
        <w:t>pt font size</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{"citationItems":[{"id":"ITEM-1","itemData":{"author":[{"dropping-particle":"","family":"Fraenkel","given":"J. R.","non-dropping-particle":"","parse-names":false,"suffix":""},{"dropping-particle":"","family":"Wallen","given":"N. E.","non-dropping-particle":"","parse-names":false,"suffix":""},{"dropping-particle":"","family":"Hyun","given":"H. H.","non-dropping-particle":"","parse-names":false,"suffix":""}],"id":"ITEM-1","issued":{"date-parts":[["2012"]]},"publisher":"McGraw-Hill","publisher-place":"New York, USA","title":"How to design and evaluate research in education","type":"book"},"uris":["http://www.mendeley.com/documents/?uuid=f821642b-37c8-4175-93fa-9853d3d8775b"]},{"id":"ITEM-2","itemData":{"author":[{"dropping-particle":"","family":"Honey","given":"M.","non-dropping-particle":"","parse-names":false,"suffix":""},{"dropping-particle":"","family":"Marshall","given":"D.","non-dropping-particle":"","parse-names":false,"suffix":""}],"container-title":"Proceedings of the 20th Annual Conference of the Australasian Society for Computers in Learning in Tertiary Education (ASCILITE)","id":"ITEM-2","issued":{"date-parts":[["2003"]]},"page":"236–243","title":"The impact of on-line muti-choice questions on undergraduate student nurses’ learning","type":"paper-conference"},"uris":["http://www.mendeley.com/documents/?uuid=6cfab6f7-ced9-4e34-950c-654697072dff"]},{"id":"ITEM-3","itemData":{"author":[{"dropping-particle":"","family":"Krueger","given":"R. A.","non-dropping-particle":"","parse-names":false,"suffix":""},{"dropping-particle":"","family":"Casey","given":"M. A.","non-dropping-particle":"","parse-names":false,"suffix":""}],"id":"ITEM-3","issued":{"date-parts":[["2015"]]},"publisher":"Sage Publications, Inc.","publisher-place":"London","title":"Focus groups: A practical guide for applied research","type":"book"},"uris":["http://www.mendeley.com/documents/?uuid=f4a9a0d7-8bbe-45bf-a75e-1da69eb34039"]},{"id":"ITEM-4","itemData":{"author":[{"dropping-particle":"","family":"Creswell","given":"J. W.","non-dropping-particle":"","parse-names":false,"suffix":""},{"dropping-particle":"","family":"Clark","given":"V. L. Plano","non-dropping-particle":"","parse-names":false,"suffix":""}],"container-title":"Designing and Conducting Mixed Methods Research","id":"ITEM-4","issued":{"date-parts":[["2011"]]},"page":"53-106","publisher":"Sage Publications, Inc.","publisher-place":"California","title":"Choosing a mixed methods design","type":"chapter"},"uris":["http://www.mendeley.com/documents/?uuid=1400fee0-463f-4041-b851-c17eea1e4d79"]},{"id":"ITEM-5","itemData":{"DOI":"10.1016/j.stueduc.2021.100995","author":[{"dropping-particle":"","family":"Mahvelati","given":"E. H.","non-dropping-particle":"","parse-names":false,"suffix":""}],"container-title":"Studies in Educational Evaluation","id":"ITEM-5","issued":{"date-parts":[["2021"]]},"title":"Learners’ perceptions and performance under peer versus teacher corrective feedback conditions","type":"article-journal","volume":"70"},"uris":["http://www.mendeley.com/documents/?uuid=12af7c40-964e-41a6-9558-4c153f65efac"]},{"id":"ITEM-6","itemData":{"DOI":"10.1016/j.ijer.2019.08.012","author":[{"dropping-particle":"","family":"Ismayilova","given":"K.","non-dropping-particle":"","parse-names":false,"suffix":""},{"dropping-particle":"","family":"M.Klassen","given":"Robert","non-dropping-particle":"","parse-names":false,"suffix":""}],"container-title":"International Journal of Educational Research","id":"ITEM-6","issued":{"date-parts":[["2019"]]},"page":"55-66","title":"Research and teaching self-efficacy of university faculty: Relations with job satisfaction","type":"article-journal","volume":"98"},"uris":["http://www.mendeley.com/documents/?uuid=c03ad362-a15e-4f08-b3e0-cadca9b3b659"]}],"mendeley":{"formattedCitation":"[20]–[25]","plainTextFormattedCitation":"[20]–[25]","previouslyFormattedCitation":"[20]–[25]"},"properties":{"noteIndex":0},"schema":"https://github.com/citation-style-language/schema/raw/master/csl-citation.json"}</w:instrText>
      </w:r>
      <w:r w:rsidR="00B149AD" w:rsidRPr="00763C7D">
        <w:rPr>
          <w:bCs/>
        </w:rPr>
        <w:fldChar w:fldCharType="separate"/>
      </w:r>
      <w:r w:rsidR="00B149AD" w:rsidRPr="00763C7D">
        <w:rPr>
          <w:bCs/>
          <w:noProof/>
        </w:rPr>
        <w:t>[20]–[25]</w:t>
      </w:r>
      <w:r w:rsidR="00B149AD" w:rsidRPr="00763C7D">
        <w:rPr>
          <w:bCs/>
        </w:rPr>
        <w:fldChar w:fldCharType="end"/>
      </w:r>
      <w:r w:rsidR="00B149AD">
        <w:rPr>
          <w:bCs/>
        </w:rPr>
        <w:t>.</w:t>
      </w:r>
    </w:p>
    <w:p w14:paraId="740F6FB0" w14:textId="0310EFFE" w:rsidR="00E619D6" w:rsidRPr="003D6B19" w:rsidRDefault="00E619D6" w:rsidP="005F227D">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1" w:name="_Hlk78354940"/>
      <w:r w:rsidRPr="00735BBC">
        <w:t>Author</w:t>
      </w:r>
      <w:r w:rsidRPr="00E94443">
        <w:t xml:space="preserve"> thanks ... </w:t>
      </w:r>
      <w:r>
        <w:t>.</w:t>
      </w:r>
      <w:r w:rsidRPr="00E94443">
        <w:t xml:space="preserve"> In most cases, sponsor and financial support acknowledgments</w:t>
      </w:r>
      <w:r>
        <w:t>.</w:t>
      </w:r>
    </w:p>
    <w:bookmarkEnd w:id="11"/>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27443DA1" w14:textId="77777777" w:rsidR="00846269" w:rsidRPr="002E70BA" w:rsidRDefault="00846269" w:rsidP="00846269">
      <w:pPr>
        <w:ind w:firstLine="720"/>
        <w:jc w:val="both"/>
        <w:rPr>
          <w:sz w:val="16"/>
          <w:szCs w:val="16"/>
        </w:rPr>
      </w:pPr>
      <w:bookmarkStart w:id="12" w:name="_Hlk78354957"/>
      <w:bookmarkStart w:id="13" w:name="_Hlk80021798"/>
      <w:r w:rsidRPr="002E70BA">
        <w:rPr>
          <w:color w:val="000000"/>
          <w:sz w:val="16"/>
          <w:szCs w:val="16"/>
        </w:rPr>
        <w:t xml:space="preserve">The main references are </w:t>
      </w:r>
      <w:r w:rsidRPr="002E70BA">
        <w:rPr>
          <w:sz w:val="16"/>
          <w:szCs w:val="16"/>
        </w:rPr>
        <w:t>international</w:t>
      </w:r>
      <w:r w:rsidRPr="002E70BA">
        <w:rPr>
          <w:color w:val="000000"/>
          <w:sz w:val="16"/>
          <w:szCs w:val="16"/>
        </w:rPr>
        <w:t xml:space="preserve"> journals and proceedings. All references should be to the most pertinent, up-to-date sources </w:t>
      </w:r>
      <w:r w:rsidRPr="002E70BA">
        <w:rPr>
          <w:b/>
          <w:bCs/>
          <w:color w:val="000000"/>
          <w:sz w:val="16"/>
          <w:szCs w:val="16"/>
        </w:rPr>
        <w:t xml:space="preserve">and the </w:t>
      </w:r>
      <w:r w:rsidRPr="002E70BA">
        <w:rPr>
          <w:b/>
          <w:bCs/>
          <w:sz w:val="16"/>
          <w:szCs w:val="16"/>
        </w:rPr>
        <w:t xml:space="preserve">minimum of references </w:t>
      </w:r>
      <w:r w:rsidRPr="002E70BA">
        <w:rPr>
          <w:sz w:val="16"/>
          <w:szCs w:val="16"/>
        </w:rPr>
        <w:t xml:space="preserve">are </w:t>
      </w:r>
      <w:r w:rsidRPr="002E70BA">
        <w:rPr>
          <w:b/>
          <w:bCs/>
          <w:sz w:val="16"/>
          <w:szCs w:val="16"/>
        </w:rPr>
        <w:t xml:space="preserve">25 entries </w:t>
      </w:r>
      <w:r w:rsidRPr="002E70BA">
        <w:rPr>
          <w:sz w:val="16"/>
          <w:szCs w:val="16"/>
        </w:rPr>
        <w:t>(for original research paper)</w:t>
      </w:r>
      <w:r w:rsidRPr="002E70BA">
        <w:rPr>
          <w:b/>
          <w:bCs/>
          <w:sz w:val="16"/>
          <w:szCs w:val="16"/>
        </w:rPr>
        <w:t xml:space="preserve"> </w:t>
      </w:r>
      <w:r w:rsidRPr="002E70BA">
        <w:rPr>
          <w:sz w:val="16"/>
          <w:szCs w:val="16"/>
        </w:rPr>
        <w:t xml:space="preserve">and </w:t>
      </w:r>
      <w:r w:rsidRPr="002E70BA">
        <w:rPr>
          <w:b/>
          <w:bCs/>
          <w:sz w:val="16"/>
          <w:szCs w:val="16"/>
        </w:rPr>
        <w:t xml:space="preserve">50 entries </w:t>
      </w:r>
      <w:r w:rsidRPr="002E70BA">
        <w:rPr>
          <w:sz w:val="16"/>
          <w:szCs w:val="16"/>
        </w:rPr>
        <w:t xml:space="preserve">(for review/survey paper). References are written in </w:t>
      </w:r>
      <w:r w:rsidRPr="002E70BA">
        <w:rPr>
          <w:b/>
          <w:bCs/>
          <w:sz w:val="16"/>
          <w:szCs w:val="16"/>
        </w:rPr>
        <w:t>IEEE style</w:t>
      </w:r>
      <w:r w:rsidRPr="002E70BA">
        <w:rPr>
          <w:sz w:val="16"/>
          <w:szCs w:val="16"/>
        </w:rPr>
        <w:t xml:space="preserve">. For more complete guide can be accessed at (http://ipmuonline.com/guide/refstyle.pdf). Use of a tool such as </w:t>
      </w:r>
      <w:r w:rsidRPr="002E70BA">
        <w:rPr>
          <w:b/>
          <w:bCs/>
          <w:sz w:val="16"/>
          <w:szCs w:val="16"/>
        </w:rPr>
        <w:t>EndNote</w:t>
      </w:r>
      <w:r w:rsidRPr="002E70BA">
        <w:rPr>
          <w:sz w:val="16"/>
          <w:szCs w:val="16"/>
        </w:rPr>
        <w:t xml:space="preserve">, </w:t>
      </w:r>
      <w:r w:rsidRPr="002E70BA">
        <w:rPr>
          <w:b/>
          <w:bCs/>
          <w:sz w:val="16"/>
          <w:szCs w:val="16"/>
        </w:rPr>
        <w:t>Mendeley</w:t>
      </w:r>
      <w:r w:rsidRPr="002E70BA">
        <w:rPr>
          <w:sz w:val="16"/>
          <w:szCs w:val="16"/>
        </w:rPr>
        <w:t xml:space="preserve">, or </w:t>
      </w:r>
      <w:r w:rsidRPr="002E70BA">
        <w:rPr>
          <w:b/>
          <w:bCs/>
          <w:sz w:val="16"/>
          <w:szCs w:val="16"/>
        </w:rPr>
        <w:t>Zotero</w:t>
      </w:r>
      <w:r w:rsidRPr="002E70BA">
        <w:rPr>
          <w:sz w:val="16"/>
          <w:szCs w:val="16"/>
        </w:rPr>
        <w:t xml:space="preserve"> for reference management and formatting, and choose </w:t>
      </w:r>
      <w:r w:rsidRPr="002E70BA">
        <w:rPr>
          <w:b/>
          <w:bCs/>
          <w:sz w:val="16"/>
          <w:szCs w:val="16"/>
        </w:rPr>
        <w:t>IEEE style</w:t>
      </w:r>
      <w:r w:rsidRPr="002E70BA">
        <w:rPr>
          <w:sz w:val="16"/>
          <w:szCs w:val="16"/>
        </w:rPr>
        <w:t xml:space="preserve">. </w:t>
      </w:r>
      <w:r w:rsidRPr="002E70BA">
        <w:rPr>
          <w:iCs/>
          <w:sz w:val="16"/>
          <w:szCs w:val="16"/>
        </w:rPr>
        <w:t>Please use</w:t>
      </w:r>
      <w:r w:rsidRPr="002E70BA">
        <w:rPr>
          <w:sz w:val="16"/>
          <w:szCs w:val="16"/>
        </w:rPr>
        <w:t xml:space="preserve"> a consistent format for </w:t>
      </w:r>
      <w:r w:rsidRPr="002E70BA">
        <w:rPr>
          <w:iCs/>
          <w:sz w:val="16"/>
          <w:szCs w:val="16"/>
        </w:rPr>
        <w:t>references-</w:t>
      </w:r>
      <w:r w:rsidRPr="002E70BA">
        <w:rPr>
          <w:sz w:val="16"/>
          <w:szCs w:val="16"/>
        </w:rPr>
        <w:t>see examples (8 pt):</w:t>
      </w:r>
    </w:p>
    <w:p w14:paraId="7FFD23A0" w14:textId="77777777" w:rsidR="00846269" w:rsidRDefault="00846269" w:rsidP="00846269">
      <w:pPr>
        <w:jc w:val="both"/>
        <w:rPr>
          <w:color w:val="000000"/>
        </w:rPr>
      </w:pPr>
      <w:bookmarkStart w:id="14" w:name="_Hlk80002086"/>
      <w:bookmarkEnd w:id="12"/>
    </w:p>
    <w:p w14:paraId="2D4C9EAC"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bookmarkStart w:id="15" w:name="_Hlk65223902"/>
      <w:bookmarkStart w:id="16" w:name="_Hlk80001145"/>
      <w:r>
        <w:rPr>
          <w:rFonts w:ascii="Times New Roman" w:hAnsi="Times New Roman"/>
          <w:b/>
          <w:bCs/>
          <w:sz w:val="18"/>
          <w:szCs w:val="18"/>
        </w:rPr>
        <w:t>Journal/Periodicals</w:t>
      </w:r>
    </w:p>
    <w:p w14:paraId="6F6FF589"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352B8CCB" w14:textId="77777777" w:rsidR="00846269" w:rsidRDefault="00846269" w:rsidP="00846269">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62C523AE" w14:textId="77777777" w:rsidR="00846269" w:rsidRDefault="00846269" w:rsidP="00846269">
      <w:pPr>
        <w:pStyle w:val="Default"/>
        <w:jc w:val="both"/>
        <w:rPr>
          <w:rFonts w:cs="Times New Roman"/>
          <w:color w:val="212121"/>
          <w:sz w:val="16"/>
          <w:szCs w:val="16"/>
        </w:rPr>
      </w:pPr>
      <w:r>
        <w:rPr>
          <w:rFonts w:cs="Times New Roman"/>
          <w:i/>
          <w:iCs/>
          <w:color w:val="212121"/>
          <w:sz w:val="16"/>
          <w:szCs w:val="16"/>
        </w:rPr>
        <w:t xml:space="preserve">Examples: </w:t>
      </w:r>
    </w:p>
    <w:bookmarkEnd w:id="15"/>
    <w:p w14:paraId="3FF6C58B"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79053E95"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593ED935" w14:textId="77777777" w:rsidR="00846269" w:rsidRPr="005D5CF8" w:rsidRDefault="00846269" w:rsidP="00846269">
      <w:pPr>
        <w:pStyle w:val="ListParagraph"/>
        <w:spacing w:after="0" w:line="240" w:lineRule="auto"/>
        <w:ind w:left="426"/>
        <w:jc w:val="both"/>
        <w:rPr>
          <w:rFonts w:ascii="Times New Roman" w:hAnsi="Times New Roman"/>
          <w:color w:val="000000"/>
          <w:sz w:val="18"/>
          <w:szCs w:val="18"/>
        </w:rPr>
      </w:pPr>
    </w:p>
    <w:p w14:paraId="5B1FA27D" w14:textId="77777777" w:rsidR="00846269" w:rsidRDefault="00846269" w:rsidP="00846269">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67A98640"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6D903437" w14:textId="77777777" w:rsidR="00846269" w:rsidRDefault="00846269" w:rsidP="00846269">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5030228F" w14:textId="77777777" w:rsidR="00846269" w:rsidRDefault="00846269" w:rsidP="00846269">
      <w:pPr>
        <w:pStyle w:val="Default"/>
        <w:jc w:val="both"/>
        <w:rPr>
          <w:rFonts w:cs="Times New Roman"/>
          <w:i/>
          <w:iCs/>
          <w:sz w:val="16"/>
          <w:szCs w:val="16"/>
        </w:rPr>
      </w:pPr>
      <w:r>
        <w:rPr>
          <w:rFonts w:cs="Times New Roman"/>
          <w:i/>
          <w:iCs/>
          <w:sz w:val="16"/>
          <w:szCs w:val="16"/>
        </w:rPr>
        <w:t xml:space="preserve">Examples: </w:t>
      </w:r>
    </w:p>
    <w:p w14:paraId="61AA9619"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684D283A"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J. Zhao, G. Sun, G. H. Loh, and Y. Xie, “Energy-efficient GPU design with reconfigurable in-package graphics memory,” in </w:t>
      </w:r>
      <w:r>
        <w:rPr>
          <w:rFonts w:cs="Times New Roman"/>
          <w:i/>
          <w:iCs/>
          <w:sz w:val="16"/>
          <w:szCs w:val="16"/>
        </w:rPr>
        <w:t>Proc. ACM/IEEE Int. Symp.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730D2F87" w14:textId="77777777" w:rsidR="00846269" w:rsidRDefault="00846269" w:rsidP="00846269">
      <w:pPr>
        <w:jc w:val="both"/>
        <w:rPr>
          <w:b/>
          <w:bCs/>
        </w:rPr>
      </w:pPr>
    </w:p>
    <w:p w14:paraId="5BE554EA"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07F76D0D" w14:textId="77777777" w:rsidR="00846269" w:rsidRDefault="00846269" w:rsidP="00846269">
      <w:pPr>
        <w:pStyle w:val="Default"/>
        <w:jc w:val="both"/>
        <w:rPr>
          <w:rFonts w:cs="Times New Roman"/>
          <w:i/>
          <w:iCs/>
          <w:sz w:val="16"/>
          <w:szCs w:val="16"/>
        </w:rPr>
      </w:pPr>
      <w:r>
        <w:rPr>
          <w:rFonts w:cs="Times New Roman"/>
          <w:i/>
          <w:iCs/>
          <w:sz w:val="16"/>
          <w:szCs w:val="16"/>
        </w:rPr>
        <w:t xml:space="preserve">Basic Format: </w:t>
      </w:r>
    </w:p>
    <w:p w14:paraId="3A1F4F9C" w14:textId="77777777" w:rsidR="00846269" w:rsidRDefault="00846269" w:rsidP="00846269">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ch.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5E3DDCE0" w14:textId="77777777" w:rsidR="00846269" w:rsidRDefault="00846269" w:rsidP="00846269">
      <w:pPr>
        <w:jc w:val="both"/>
        <w:rPr>
          <w:i/>
          <w:iCs/>
          <w:sz w:val="16"/>
          <w:szCs w:val="16"/>
        </w:rPr>
      </w:pPr>
      <w:r>
        <w:rPr>
          <w:i/>
          <w:iCs/>
          <w:sz w:val="16"/>
          <w:szCs w:val="16"/>
        </w:rPr>
        <w:t>Examples:</w:t>
      </w:r>
    </w:p>
    <w:p w14:paraId="064F68FA"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2F7AEC01"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19BCAA26" w14:textId="77777777" w:rsidR="00846269" w:rsidRDefault="00846269" w:rsidP="00846269">
      <w:pPr>
        <w:jc w:val="both"/>
        <w:rPr>
          <w:color w:val="000000"/>
        </w:rPr>
      </w:pPr>
    </w:p>
    <w:p w14:paraId="75D827BA"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0079060E"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3DEA07C0" w14:textId="77777777" w:rsidR="00846269" w:rsidRDefault="00846269" w:rsidP="00846269">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56382139" w14:textId="77777777" w:rsidR="00846269" w:rsidRDefault="00846269" w:rsidP="00846269">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425F7028" w14:textId="77777777" w:rsidR="00846269" w:rsidRDefault="00846269" w:rsidP="00846269">
      <w:pPr>
        <w:pStyle w:val="Default"/>
        <w:jc w:val="both"/>
        <w:rPr>
          <w:rFonts w:cs="Times New Roman"/>
          <w:sz w:val="16"/>
          <w:szCs w:val="16"/>
        </w:rPr>
      </w:pPr>
      <w:r>
        <w:rPr>
          <w:rFonts w:cs="Times New Roman"/>
          <w:i/>
          <w:iCs/>
          <w:sz w:val="16"/>
          <w:szCs w:val="16"/>
        </w:rPr>
        <w:t xml:space="preserve">Examples: </w:t>
      </w:r>
    </w:p>
    <w:p w14:paraId="625E9050"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60D32879"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1FC49AE0" w14:textId="77777777" w:rsidR="00846269" w:rsidRDefault="00846269" w:rsidP="00846269">
      <w:pPr>
        <w:pStyle w:val="Default"/>
        <w:rPr>
          <w:rFonts w:cs="Times New Roman"/>
          <w:sz w:val="20"/>
          <w:szCs w:val="20"/>
        </w:rPr>
      </w:pPr>
    </w:p>
    <w:p w14:paraId="547652F3" w14:textId="77777777" w:rsidR="00846269" w:rsidRDefault="00846269" w:rsidP="00846269">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3"/>
      <w:bookmarkEnd w:id="14"/>
      <w:bookmarkEnd w:id="16"/>
    </w:p>
    <w:p w14:paraId="4BC3F173" w14:textId="76D1E1F6" w:rsidR="00E619D6" w:rsidRDefault="00E619D6" w:rsidP="00E619D6">
      <w:pPr>
        <w:jc w:val="both"/>
        <w:rPr>
          <w:color w:val="000000"/>
        </w:rPr>
      </w:pPr>
    </w:p>
    <w:p w14:paraId="6CD69EC3" w14:textId="77777777" w:rsidR="001A393C" w:rsidRPr="00846269" w:rsidRDefault="001A393C"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7" w:name="_Hlk78354977"/>
      <w:r w:rsidRPr="003D6B19">
        <w:rPr>
          <w:rStyle w:val="apple-style-span"/>
          <w:b/>
          <w:color w:val="000000"/>
          <w:lang w:val="pt-BR"/>
        </w:rPr>
        <w:t>REFERENCES</w:t>
      </w:r>
    </w:p>
    <w:bookmarkEnd w:id="17"/>
    <w:p w14:paraId="30BA40D3"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color w:val="000000"/>
          <w:sz w:val="16"/>
          <w:szCs w:val="16"/>
        </w:rPr>
        <w:fldChar w:fldCharType="begin" w:fldLock="1"/>
      </w:r>
      <w:r w:rsidRPr="00846269">
        <w:rPr>
          <w:color w:val="000000"/>
          <w:sz w:val="16"/>
          <w:szCs w:val="16"/>
        </w:rPr>
        <w:instrText xml:space="preserve">ADDIN Mendeley Bibliography CSL_BIBLIOGRAPHY </w:instrText>
      </w:r>
      <w:r w:rsidRPr="00846269">
        <w:rPr>
          <w:color w:val="000000"/>
          <w:sz w:val="16"/>
          <w:szCs w:val="16"/>
        </w:rPr>
        <w:fldChar w:fldCharType="separate"/>
      </w:r>
      <w:r w:rsidRPr="00846269">
        <w:rPr>
          <w:noProof/>
          <w:sz w:val="16"/>
          <w:szCs w:val="22"/>
        </w:rPr>
        <w:t>[1]</w:t>
      </w:r>
      <w:r w:rsidRPr="00846269">
        <w:rPr>
          <w:noProof/>
          <w:sz w:val="16"/>
          <w:szCs w:val="22"/>
        </w:rPr>
        <w:tab/>
        <w:t xml:space="preserve">P. Delgadoa, C. Vargasb, R. Ackermanc, and L. Salmerón, “Don’t throw away your printed books: A meta-analysis on the effects of reading media on reading comprehension,” </w:t>
      </w:r>
      <w:r w:rsidRPr="00846269">
        <w:rPr>
          <w:i/>
          <w:iCs/>
          <w:noProof/>
          <w:sz w:val="16"/>
          <w:szCs w:val="22"/>
        </w:rPr>
        <w:t>Educ. Res. Rev.</w:t>
      </w:r>
      <w:r w:rsidRPr="00846269">
        <w:rPr>
          <w:noProof/>
          <w:sz w:val="16"/>
          <w:szCs w:val="22"/>
        </w:rPr>
        <w:t>, vol. 25, pp. 23–38, 2018, doi: 10.1016/j.edurev.2018.09.003.</w:t>
      </w:r>
    </w:p>
    <w:p w14:paraId="7455A156"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w:t>
      </w:r>
      <w:r w:rsidRPr="00846269">
        <w:rPr>
          <w:noProof/>
          <w:sz w:val="16"/>
          <w:szCs w:val="22"/>
        </w:rPr>
        <w:tab/>
        <w:t xml:space="preserve">F. Reichert, D. Lange, and L. Chow, “Educational beliefs matter for classroom instruction: A comparative analysis of teachers’ beliefs about the aims of civic education,” </w:t>
      </w:r>
      <w:r w:rsidRPr="00846269">
        <w:rPr>
          <w:i/>
          <w:iCs/>
          <w:noProof/>
          <w:sz w:val="16"/>
          <w:szCs w:val="22"/>
        </w:rPr>
        <w:t>Teach. Teach. Educ.</w:t>
      </w:r>
      <w:r w:rsidRPr="00846269">
        <w:rPr>
          <w:noProof/>
          <w:sz w:val="16"/>
          <w:szCs w:val="22"/>
        </w:rPr>
        <w:t>, vol. 98, pp. 1–13, 2020, doi: 10.1016/j.tate.2020.103248.</w:t>
      </w:r>
    </w:p>
    <w:p w14:paraId="141B536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[3]</w:t>
      </w:r>
      <w:r w:rsidRPr="00846269">
        <w:rPr>
          <w:noProof/>
          <w:sz w:val="16"/>
          <w:szCs w:val="22"/>
        </w:rPr>
        <w:tab/>
        <w:t xml:space="preserve">J. Roick and T. Ringeisen, “Students’ math performance in higher education: examining the role of self-regulated learning and self-efficacy,” </w:t>
      </w:r>
      <w:r w:rsidRPr="00846269">
        <w:rPr>
          <w:i/>
          <w:iCs/>
          <w:noProof/>
          <w:sz w:val="16"/>
          <w:szCs w:val="22"/>
        </w:rPr>
        <w:t>Learn. Individ. Differ.</w:t>
      </w:r>
      <w:r w:rsidRPr="00846269">
        <w:rPr>
          <w:noProof/>
          <w:sz w:val="16"/>
          <w:szCs w:val="22"/>
        </w:rPr>
        <w:t>, vol. 65, pp. 148–158, 2018.</w:t>
      </w:r>
    </w:p>
    <w:p w14:paraId="775B9DA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[4]</w:t>
      </w:r>
      <w:r w:rsidRPr="00846269">
        <w:rPr>
          <w:noProof/>
          <w:sz w:val="16"/>
          <w:szCs w:val="22"/>
        </w:rPr>
        <w:tab/>
        <w:t xml:space="preserve">G. Ocak and A. Yamaç, “Examination of the relationships between fifth graders’ self-regulated learning strategies, motivational beliefs, attitudes, and achievement,” </w:t>
      </w:r>
      <w:r w:rsidRPr="00846269">
        <w:rPr>
          <w:i/>
          <w:iCs/>
          <w:noProof/>
          <w:sz w:val="16"/>
          <w:szCs w:val="22"/>
        </w:rPr>
        <w:t>Educ. Sci. Theory Pract.</w:t>
      </w:r>
      <w:r w:rsidRPr="00846269">
        <w:rPr>
          <w:noProof/>
          <w:sz w:val="16"/>
          <w:szCs w:val="22"/>
        </w:rPr>
        <w:t>, vol. 13, no. 1, pp. 380–387, 2013.</w:t>
      </w:r>
    </w:p>
    <w:p w14:paraId="10BC574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[5]</w:t>
      </w:r>
      <w:r w:rsidRPr="00846269">
        <w:rPr>
          <w:noProof/>
          <w:sz w:val="16"/>
          <w:szCs w:val="22"/>
        </w:rPr>
        <w:tab/>
        <w:t xml:space="preserve">S. Li and J. Zheng, “The relationship between self-efficacy and self-regulated learning in one-to-one computing environment: The mediated role of task values,” </w:t>
      </w:r>
      <w:r w:rsidRPr="00846269">
        <w:rPr>
          <w:i/>
          <w:iCs/>
          <w:noProof/>
          <w:sz w:val="16"/>
          <w:szCs w:val="22"/>
        </w:rPr>
        <w:t>Asia-Pacific Educ. Res.</w:t>
      </w:r>
      <w:r w:rsidRPr="00846269">
        <w:rPr>
          <w:noProof/>
          <w:sz w:val="16"/>
          <w:szCs w:val="22"/>
        </w:rPr>
        <w:t>, vol. 27, no. 6, pp. 455–463, 2018, doi: 10.1007/s40299-018-0405-2.</w:t>
      </w:r>
    </w:p>
    <w:p w14:paraId="246D1470"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[6]</w:t>
      </w:r>
      <w:r w:rsidRPr="00846269">
        <w:rPr>
          <w:noProof/>
          <w:sz w:val="16"/>
          <w:szCs w:val="22"/>
        </w:rPr>
        <w:tab/>
        <w:t xml:space="preserve">B. J. Zimmerman and A. R. Moylan, “Self-regulation: where metacognition and motivation intersect,” in </w:t>
      </w:r>
      <w:r w:rsidRPr="00846269">
        <w:rPr>
          <w:noProof/>
          <w:sz w:val="16"/>
          <w:szCs w:val="16"/>
        </w:rPr>
        <w:t xml:space="preserve">D. J. Hacker, J. Dunlosky, and A. C. Graesser, Eds., </w:t>
      </w:r>
      <w:r w:rsidRPr="00846269">
        <w:rPr>
          <w:i/>
          <w:iCs/>
          <w:noProof/>
          <w:sz w:val="16"/>
          <w:szCs w:val="22"/>
        </w:rPr>
        <w:t>Handbook of Metacognition in Education</w:t>
      </w:r>
      <w:r w:rsidRPr="00846269">
        <w:rPr>
          <w:noProof/>
          <w:sz w:val="16"/>
          <w:szCs w:val="22"/>
        </w:rPr>
        <w:t>, 2009, pp. 299–315.</w:t>
      </w:r>
    </w:p>
    <w:p w14:paraId="07B5D7C5"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[7]</w:t>
      </w:r>
      <w:r w:rsidRPr="00846269">
        <w:rPr>
          <w:noProof/>
          <w:sz w:val="16"/>
          <w:szCs w:val="22"/>
        </w:rPr>
        <w:tab/>
        <w:t xml:space="preserve">P. R. Pintrich, D. A. F. Smith, T. Duncan, and W. Mckeachie, </w:t>
      </w:r>
      <w:r w:rsidRPr="00846269">
        <w:rPr>
          <w:i/>
          <w:iCs/>
          <w:noProof/>
          <w:sz w:val="16"/>
          <w:szCs w:val="22"/>
        </w:rPr>
        <w:t>A manual for the use of the motivated strategies for learning questionnaire (MSLQ)</w:t>
      </w:r>
      <w:r w:rsidRPr="00846269">
        <w:rPr>
          <w:noProof/>
          <w:sz w:val="16"/>
          <w:szCs w:val="22"/>
        </w:rPr>
        <w:t>. Ann Arbor, Michigan, 1991.</w:t>
      </w:r>
    </w:p>
    <w:p w14:paraId="66235431"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[8]</w:t>
      </w:r>
      <w:r w:rsidRPr="00846269">
        <w:rPr>
          <w:noProof/>
          <w:sz w:val="16"/>
          <w:szCs w:val="22"/>
        </w:rPr>
        <w:tab/>
        <w:t xml:space="preserve">M. Pressley and C. B. McCormick, </w:t>
      </w:r>
      <w:r w:rsidRPr="00846269">
        <w:rPr>
          <w:i/>
          <w:iCs/>
          <w:noProof/>
          <w:sz w:val="16"/>
          <w:szCs w:val="22"/>
        </w:rPr>
        <w:t>Advanced educational psychology for educators, researchers, and policymakers</w:t>
      </w:r>
      <w:r w:rsidRPr="00846269">
        <w:rPr>
          <w:noProof/>
          <w:sz w:val="16"/>
          <w:szCs w:val="22"/>
        </w:rPr>
        <w:t>. New York, USA: HarperCollins College Publishers, 1995.</w:t>
      </w:r>
    </w:p>
    <w:p w14:paraId="7461BB6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[9]</w:t>
      </w:r>
      <w:r w:rsidRPr="00846269">
        <w:rPr>
          <w:noProof/>
          <w:sz w:val="16"/>
          <w:szCs w:val="22"/>
        </w:rPr>
        <w:tab/>
        <w:t xml:space="preserve">A. Bandura, </w:t>
      </w:r>
      <w:r w:rsidRPr="00846269">
        <w:rPr>
          <w:i/>
          <w:iCs/>
          <w:noProof/>
          <w:sz w:val="16"/>
          <w:szCs w:val="22"/>
        </w:rPr>
        <w:t>Prentice-Hall series in social learning theory. Social foundations of thought and action: A social cognitive theory</w:t>
      </w:r>
      <w:r w:rsidRPr="00846269">
        <w:rPr>
          <w:noProof/>
          <w:sz w:val="16"/>
          <w:szCs w:val="22"/>
        </w:rPr>
        <w:t>. Prentice-Hall, Inc., 1985.</w:t>
      </w:r>
    </w:p>
    <w:p w14:paraId="645F7C4A"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[10]</w:t>
      </w:r>
      <w:r w:rsidRPr="00846269">
        <w:rPr>
          <w:noProof/>
          <w:sz w:val="16"/>
          <w:szCs w:val="22"/>
        </w:rPr>
        <w:tab/>
        <w:t xml:space="preserve">A. L. Dent and A. C. Koenka, “The relation between self-regulated learning and academic achievement across childhood and adolescence: a meta-analysis,” </w:t>
      </w:r>
      <w:r w:rsidRPr="00846269">
        <w:rPr>
          <w:i/>
          <w:iCs/>
          <w:noProof/>
          <w:sz w:val="16"/>
          <w:szCs w:val="22"/>
        </w:rPr>
        <w:t>Educ. Psychol. Rev.</w:t>
      </w:r>
      <w:r w:rsidRPr="00846269">
        <w:rPr>
          <w:noProof/>
          <w:sz w:val="16"/>
          <w:szCs w:val="22"/>
        </w:rPr>
        <w:t>, vol. 28, no. 3, pp. 425–474, 2015, doi: 10.1007/s10648-015-9320-8.</w:t>
      </w:r>
    </w:p>
    <w:p w14:paraId="3E30184C"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[11]</w:t>
      </w:r>
      <w:r w:rsidRPr="00846269">
        <w:rPr>
          <w:noProof/>
          <w:sz w:val="16"/>
          <w:szCs w:val="22"/>
        </w:rPr>
        <w:tab/>
        <w:t xml:space="preserve">T. J. Cleary and A. Kitsantas, “Motivation and self-regulated learning influences on middle school mathematics achievement,” </w:t>
      </w:r>
      <w:r w:rsidRPr="00846269">
        <w:rPr>
          <w:i/>
          <w:iCs/>
          <w:noProof/>
          <w:sz w:val="16"/>
          <w:szCs w:val="22"/>
        </w:rPr>
        <w:t>School Psych. Rev.</w:t>
      </w:r>
      <w:r w:rsidRPr="00846269">
        <w:rPr>
          <w:noProof/>
          <w:sz w:val="16"/>
          <w:szCs w:val="22"/>
        </w:rPr>
        <w:t>, vol. 46, no. 1, pp. 88–107, 2017.</w:t>
      </w:r>
    </w:p>
    <w:p w14:paraId="5620E74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[12]</w:t>
      </w:r>
      <w:r w:rsidRPr="00846269">
        <w:rPr>
          <w:noProof/>
          <w:sz w:val="16"/>
          <w:szCs w:val="22"/>
        </w:rPr>
        <w:tab/>
        <w:t xml:space="preserve">P. R. Pintrich, “Chapter 14 - The Role of Goal Orientation in Self-Regulated Learning,” in </w:t>
      </w:r>
      <w:r w:rsidRPr="00846269">
        <w:rPr>
          <w:noProof/>
          <w:sz w:val="16"/>
          <w:szCs w:val="16"/>
        </w:rPr>
        <w:t>in M. Boekaerts, P. Pintrich, M. Zeidner, Eds.,</w:t>
      </w:r>
      <w:r w:rsidRPr="00846269">
        <w:rPr>
          <w:noProof/>
          <w:sz w:val="16"/>
          <w:szCs w:val="22"/>
        </w:rPr>
        <w:t xml:space="preserve"> </w:t>
      </w:r>
      <w:r w:rsidRPr="00846269">
        <w:rPr>
          <w:i/>
          <w:iCs/>
          <w:noProof/>
          <w:sz w:val="16"/>
          <w:szCs w:val="22"/>
        </w:rPr>
        <w:t>Handbook of Self-Regulation</w:t>
      </w:r>
      <w:r w:rsidRPr="00846269">
        <w:rPr>
          <w:noProof/>
          <w:sz w:val="16"/>
          <w:szCs w:val="22"/>
        </w:rPr>
        <w:t>, San Diego, California: Academic Press, 2000, pp. 451–502.</w:t>
      </w:r>
    </w:p>
    <w:p w14:paraId="4755C6E4"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[13]</w:t>
      </w:r>
      <w:r w:rsidRPr="00846269">
        <w:rPr>
          <w:noProof/>
          <w:sz w:val="16"/>
          <w:szCs w:val="22"/>
        </w:rPr>
        <w:tab/>
        <w:t xml:space="preserve">H. Vonkova and J. Hrabak, “The (in) comparability of ICT knowledge and skill self-assessments among upper secondary school students: The use of the anchoring vignette method,” </w:t>
      </w:r>
      <w:r w:rsidRPr="00846269">
        <w:rPr>
          <w:i/>
          <w:iCs/>
          <w:noProof/>
          <w:sz w:val="16"/>
          <w:szCs w:val="22"/>
        </w:rPr>
        <w:t>Comput. Educ.</w:t>
      </w:r>
      <w:r w:rsidRPr="00846269">
        <w:rPr>
          <w:noProof/>
          <w:sz w:val="16"/>
          <w:szCs w:val="22"/>
        </w:rPr>
        <w:t>, vol. 85, pp. 191–202, 2015, doi: 10.1016/j.compedu.2015.03.003.</w:t>
      </w:r>
    </w:p>
    <w:p w14:paraId="40BBFDD5"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[14]</w:t>
      </w:r>
      <w:r w:rsidRPr="00846269">
        <w:rPr>
          <w:noProof/>
          <w:sz w:val="16"/>
          <w:szCs w:val="22"/>
        </w:rPr>
        <w:tab/>
        <w:t xml:space="preserve">F. Baier, A.-T. Decker, T. Voss, T. Kleickmann, U. Klusmann, and M. Kunter, “What makes a good teacher? The relative importance of mathematics teachers’ cognitive ability, personality, knowledge, beliefs, and motivation for instructional quality,” </w:t>
      </w:r>
      <w:r w:rsidRPr="00846269">
        <w:rPr>
          <w:i/>
          <w:iCs/>
          <w:noProof/>
          <w:sz w:val="16"/>
          <w:szCs w:val="22"/>
        </w:rPr>
        <w:t>Br. J. Educ. Psychol.</w:t>
      </w:r>
      <w:r w:rsidRPr="00846269">
        <w:rPr>
          <w:noProof/>
          <w:sz w:val="16"/>
          <w:szCs w:val="22"/>
        </w:rPr>
        <w:t>, vol. 89, no. 4, pp. 767–786, 2019, doi: 10.1111/bjep.12256.</w:t>
      </w:r>
    </w:p>
    <w:p w14:paraId="0705A88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[15]</w:t>
      </w:r>
      <w:r w:rsidRPr="00846269">
        <w:rPr>
          <w:noProof/>
          <w:sz w:val="16"/>
          <w:szCs w:val="22"/>
        </w:rPr>
        <w:tab/>
        <w:t xml:space="preserve">A. M. Flanagan, D. C. Cormier, and O. Bulut, “Achievement may be rooted in teacher expectations: examining the differential influences of ethnicity, years of teaching, and classroom behaviour,” </w:t>
      </w:r>
      <w:r w:rsidRPr="00846269">
        <w:rPr>
          <w:i/>
          <w:iCs/>
          <w:noProof/>
          <w:sz w:val="16"/>
          <w:szCs w:val="22"/>
        </w:rPr>
        <w:t>Soc. Psychol. Educ.</w:t>
      </w:r>
      <w:r w:rsidRPr="00846269">
        <w:rPr>
          <w:noProof/>
          <w:sz w:val="16"/>
          <w:szCs w:val="22"/>
        </w:rPr>
        <w:t>, vol. 23, pp. 1429–1448, 2020, doi: 10.1007/s11218-020-09590-y.</w:t>
      </w:r>
    </w:p>
    <w:p w14:paraId="7F1EF5D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[16]</w:t>
      </w:r>
      <w:r w:rsidRPr="00846269">
        <w:rPr>
          <w:noProof/>
          <w:sz w:val="16"/>
          <w:szCs w:val="22"/>
        </w:rPr>
        <w:tab/>
        <w:t xml:space="preserve">F. M. van der Kleij, “Comparison of teacher and student perceptions of formative assessment feedback practices and association with individual student characteristics,” </w:t>
      </w:r>
      <w:r w:rsidRPr="00846269">
        <w:rPr>
          <w:i/>
          <w:iCs/>
          <w:noProof/>
          <w:sz w:val="16"/>
          <w:szCs w:val="22"/>
        </w:rPr>
        <w:t>Teach. Teach. Educ.</w:t>
      </w:r>
      <w:r w:rsidRPr="00846269">
        <w:rPr>
          <w:noProof/>
          <w:sz w:val="16"/>
          <w:szCs w:val="22"/>
        </w:rPr>
        <w:t>, vol. 85, no. 1, pp. 175–189, 2019.</w:t>
      </w:r>
    </w:p>
    <w:p w14:paraId="61CA3F2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[17]</w:t>
      </w:r>
      <w:r w:rsidRPr="00846269">
        <w:rPr>
          <w:noProof/>
          <w:sz w:val="16"/>
          <w:szCs w:val="22"/>
        </w:rPr>
        <w:tab/>
        <w:t xml:space="preserve">R. G. Brockett and R. Hiemstra, </w:t>
      </w:r>
      <w:r w:rsidRPr="00846269">
        <w:rPr>
          <w:i/>
          <w:iCs/>
          <w:noProof/>
          <w:sz w:val="16"/>
          <w:szCs w:val="22"/>
        </w:rPr>
        <w:t>Self-direction in adult learning: Perspectives on theory, research, and practice</w:t>
      </w:r>
      <w:r w:rsidRPr="00846269">
        <w:rPr>
          <w:noProof/>
          <w:sz w:val="16"/>
          <w:szCs w:val="22"/>
        </w:rPr>
        <w:t xml:space="preserve">. London and New </w:t>
      </w:r>
      <w:r w:rsidRPr="00846269">
        <w:rPr>
          <w:noProof/>
          <w:sz w:val="16"/>
          <w:szCs w:val="22"/>
        </w:rPr>
        <w:lastRenderedPageBreak/>
        <w:t>York: Routledge, 2020.</w:t>
      </w:r>
    </w:p>
    <w:p w14:paraId="26E5935C"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[18]</w:t>
      </w:r>
      <w:r w:rsidRPr="00846269">
        <w:rPr>
          <w:noProof/>
          <w:sz w:val="16"/>
          <w:szCs w:val="22"/>
        </w:rPr>
        <w:tab/>
        <w:t xml:space="preserve">R. Hiemstra and R. G. Brockett, “Reframing the Meaning of Self-Directed Learning: An Updated Modeltt,” in </w:t>
      </w:r>
      <w:r w:rsidRPr="00846269">
        <w:rPr>
          <w:i/>
          <w:iCs/>
          <w:noProof/>
          <w:sz w:val="16"/>
          <w:szCs w:val="22"/>
        </w:rPr>
        <w:t>Adult Education Research Conference Proceedings</w:t>
      </w:r>
      <w:r w:rsidRPr="00846269">
        <w:rPr>
          <w:noProof/>
          <w:sz w:val="16"/>
          <w:szCs w:val="22"/>
        </w:rPr>
        <w:t>, 2012, pp. 155–161.</w:t>
      </w:r>
    </w:p>
    <w:p w14:paraId="5053023E"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[19]</w:t>
      </w:r>
      <w:r w:rsidRPr="00846269">
        <w:rPr>
          <w:noProof/>
          <w:sz w:val="16"/>
          <w:szCs w:val="22"/>
        </w:rPr>
        <w:tab/>
        <w:t xml:space="preserve">S. Geng, K. M. Y. Law, and B. Niu, “Investigating self-directed learning and technology readiness in blending learning environment,” </w:t>
      </w:r>
      <w:r w:rsidRPr="00846269">
        <w:rPr>
          <w:i/>
          <w:iCs/>
          <w:noProof/>
          <w:sz w:val="16"/>
          <w:szCs w:val="22"/>
        </w:rPr>
        <w:t>Int. J. Educ. Technol. High. Educ.</w:t>
      </w:r>
      <w:r w:rsidRPr="00846269">
        <w:rPr>
          <w:noProof/>
          <w:sz w:val="16"/>
          <w:szCs w:val="22"/>
        </w:rPr>
        <w:t>, vol. 16, no. 17, pp. 1–22, 2019, doi: 10.1186/s41239-019-0147-0.</w:t>
      </w:r>
    </w:p>
    <w:p w14:paraId="1B89EBDA"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[20]</w:t>
      </w:r>
      <w:r w:rsidRPr="00846269">
        <w:rPr>
          <w:noProof/>
          <w:sz w:val="16"/>
          <w:szCs w:val="22"/>
        </w:rPr>
        <w:tab/>
        <w:t xml:space="preserve">J. R. Fraenkel, N. E. Wallen, and H. H. Hyun, </w:t>
      </w:r>
      <w:r w:rsidRPr="00846269">
        <w:rPr>
          <w:i/>
          <w:iCs/>
          <w:noProof/>
          <w:sz w:val="16"/>
          <w:szCs w:val="22"/>
        </w:rPr>
        <w:t>How to design and evaluate research in education</w:t>
      </w:r>
      <w:r w:rsidRPr="00846269">
        <w:rPr>
          <w:noProof/>
          <w:sz w:val="16"/>
          <w:szCs w:val="22"/>
        </w:rPr>
        <w:t>. New York, USA: McGraw-Hill, 2012.</w:t>
      </w:r>
    </w:p>
    <w:p w14:paraId="1529D02E"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[21]</w:t>
      </w:r>
      <w:r w:rsidRPr="00846269">
        <w:rPr>
          <w:noProof/>
          <w:sz w:val="16"/>
          <w:szCs w:val="22"/>
        </w:rPr>
        <w:tab/>
        <w:t xml:space="preserve">M. Honey and D. Marshall, “The impact of on-line muti-choice questions on undergraduate student nurses’ learning,” in </w:t>
      </w:r>
      <w:r w:rsidRPr="00846269">
        <w:rPr>
          <w:i/>
          <w:iCs/>
          <w:noProof/>
          <w:sz w:val="16"/>
          <w:szCs w:val="22"/>
        </w:rPr>
        <w:t>Proceedings of the 20th Annual Conference of the Australasian Society for Computers in Learning in Tertiary Education (ASCILITE)</w:t>
      </w:r>
      <w:r w:rsidRPr="00846269">
        <w:rPr>
          <w:noProof/>
          <w:sz w:val="16"/>
          <w:szCs w:val="22"/>
        </w:rPr>
        <w:t>, 2003, pp. 236–243.</w:t>
      </w:r>
    </w:p>
    <w:p w14:paraId="0024413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[22]</w:t>
      </w:r>
      <w:r w:rsidRPr="00846269">
        <w:rPr>
          <w:noProof/>
          <w:sz w:val="16"/>
          <w:szCs w:val="22"/>
        </w:rPr>
        <w:tab/>
        <w:t xml:space="preserve">R. A. Krueger and M. A. Casey, </w:t>
      </w:r>
      <w:r w:rsidRPr="00846269">
        <w:rPr>
          <w:i/>
          <w:iCs/>
          <w:noProof/>
          <w:sz w:val="16"/>
          <w:szCs w:val="22"/>
        </w:rPr>
        <w:t>Focus groups: A practical guide for applied research</w:t>
      </w:r>
      <w:r w:rsidRPr="00846269">
        <w:rPr>
          <w:noProof/>
          <w:sz w:val="16"/>
          <w:szCs w:val="22"/>
        </w:rPr>
        <w:t>. London: Sage Publications, Inc., 2015.</w:t>
      </w:r>
    </w:p>
    <w:p w14:paraId="09E69FEB"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[23]</w:t>
      </w:r>
      <w:r w:rsidRPr="00846269">
        <w:rPr>
          <w:noProof/>
          <w:sz w:val="16"/>
          <w:szCs w:val="22"/>
        </w:rPr>
        <w:tab/>
        <w:t xml:space="preserve">J. W. Creswell and V. L. P. Clark, “Choosing a mixed methods design,” in </w:t>
      </w:r>
      <w:r w:rsidRPr="00846269">
        <w:rPr>
          <w:i/>
          <w:iCs/>
          <w:noProof/>
          <w:sz w:val="16"/>
          <w:szCs w:val="22"/>
        </w:rPr>
        <w:t>Designing and Conducting Mixed Methods Research</w:t>
      </w:r>
      <w:r w:rsidRPr="00846269">
        <w:rPr>
          <w:noProof/>
          <w:sz w:val="16"/>
          <w:szCs w:val="22"/>
        </w:rPr>
        <w:t>, California: Sage Publications, Inc., 2011, pp. 53–106.</w:t>
      </w:r>
    </w:p>
    <w:p w14:paraId="6F91B20B"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[24]</w:t>
      </w:r>
      <w:r w:rsidRPr="00846269">
        <w:rPr>
          <w:noProof/>
          <w:sz w:val="16"/>
          <w:szCs w:val="22"/>
        </w:rPr>
        <w:tab/>
        <w:t xml:space="preserve">E. H. Mahvelati, “Learners’ perceptions and performance under peer versus teacher corrective feedback conditions,” </w:t>
      </w:r>
      <w:r w:rsidRPr="00846269">
        <w:rPr>
          <w:i/>
          <w:iCs/>
          <w:noProof/>
          <w:sz w:val="16"/>
          <w:szCs w:val="22"/>
        </w:rPr>
        <w:t>Stud. Educ. Eval.</w:t>
      </w:r>
      <w:r w:rsidRPr="00846269">
        <w:rPr>
          <w:noProof/>
          <w:sz w:val="16"/>
          <w:szCs w:val="22"/>
        </w:rPr>
        <w:t>, vol. 70, 2021, doi: 10.1016/j.stueduc.2021.100995.</w:t>
      </w:r>
    </w:p>
    <w:p w14:paraId="436836A3" w14:textId="77777777" w:rsidR="00B149AD" w:rsidRPr="00846269" w:rsidRDefault="00B149AD" w:rsidP="00B149AD">
      <w:pPr>
        <w:widowControl w:val="0"/>
        <w:autoSpaceDE w:val="0"/>
        <w:autoSpaceDN w:val="0"/>
        <w:adjustRightInd w:val="0"/>
        <w:ind w:left="426" w:hanging="426"/>
        <w:jc w:val="both"/>
        <w:rPr>
          <w:noProof/>
          <w:sz w:val="16"/>
          <w:szCs w:val="18"/>
        </w:rPr>
      </w:pPr>
      <w:r w:rsidRPr="00846269">
        <w:rPr>
          <w:noProof/>
          <w:sz w:val="16"/>
          <w:szCs w:val="22"/>
        </w:rPr>
        <w:t>[25]</w:t>
      </w:r>
      <w:r w:rsidRPr="00846269">
        <w:rPr>
          <w:noProof/>
          <w:sz w:val="16"/>
          <w:szCs w:val="22"/>
        </w:rPr>
        <w:tab/>
        <w:t xml:space="preserve">K. Ismayilova and R. M.Klassen, “Research and teaching self-efficacy of university faculty: Relations with job satisfaction,” </w:t>
      </w:r>
      <w:r w:rsidRPr="00846269">
        <w:rPr>
          <w:i/>
          <w:iCs/>
          <w:noProof/>
          <w:sz w:val="16"/>
          <w:szCs w:val="22"/>
        </w:rPr>
        <w:t>Int. J. Educ. Res.</w:t>
      </w:r>
      <w:r w:rsidRPr="00846269">
        <w:rPr>
          <w:noProof/>
          <w:sz w:val="16"/>
          <w:szCs w:val="22"/>
        </w:rPr>
        <w:t>, vol. 98, pp. 55–66, 2019, doi: 10.1016/j.ijer.2019.08.012.</w:t>
      </w:r>
    </w:p>
    <w:p w14:paraId="7D0EF40C" w14:textId="1004F671" w:rsidR="00E619D6" w:rsidRPr="003D6B19" w:rsidRDefault="00B149AD" w:rsidP="00B149AD">
      <w:pPr>
        <w:widowControl w:val="0"/>
        <w:autoSpaceDE w:val="0"/>
        <w:autoSpaceDN w:val="0"/>
        <w:adjustRightInd w:val="0"/>
        <w:ind w:left="426" w:hanging="426"/>
        <w:jc w:val="both"/>
        <w:rPr>
          <w:color w:val="000000"/>
          <w:sz w:val="18"/>
          <w:szCs w:val="18"/>
        </w:rPr>
      </w:pPr>
      <w:r w:rsidRPr="00846269">
        <w:rPr>
          <w:color w:val="000000"/>
          <w:sz w:val="16"/>
          <w:szCs w:val="16"/>
        </w:rPr>
        <w:fldChar w:fldCharType="end"/>
      </w:r>
    </w:p>
    <w:p w14:paraId="41B57CED" w14:textId="095B58CF" w:rsidR="00E619D6" w:rsidRDefault="00E619D6" w:rsidP="00E619D6">
      <w:pPr>
        <w:ind w:left="426" w:hanging="426"/>
        <w:jc w:val="both"/>
        <w:rPr>
          <w:color w:val="000000"/>
        </w:rPr>
      </w:pPr>
    </w:p>
    <w:sectPr w:rsidR="00E619D6" w:rsidSect="002A276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64C5" w14:textId="77777777" w:rsidR="000625C9" w:rsidRDefault="000625C9">
      <w:r>
        <w:separator/>
      </w:r>
    </w:p>
  </w:endnote>
  <w:endnote w:type="continuationSeparator" w:id="0">
    <w:p w14:paraId="5CF13DA8" w14:textId="77777777" w:rsidR="000625C9" w:rsidRDefault="0006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imbusRomNo9L-Medi">
    <w:altName w:val="Cambria"/>
    <w:panose1 w:val="020B0604020202020204"/>
    <w:charset w:val="00"/>
    <w:family w:val="roman"/>
    <w:pitch w:val="default"/>
  </w:font>
  <w:font w:name="NimbusRomNo9L-Regu">
    <w:altName w:val="Cambria"/>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3E8E16B8"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192" behindDoc="0" locked="0" layoutInCell="1" allowOverlap="1" wp14:anchorId="307E942D" wp14:editId="6972ABD9">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0D5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6F378131">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2E8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77EE7E49"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76234395">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D780F"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7F22" w14:textId="77777777" w:rsidR="000625C9" w:rsidRDefault="000625C9">
      <w:r>
        <w:separator/>
      </w:r>
    </w:p>
  </w:footnote>
  <w:footnote w:type="continuationSeparator" w:id="0">
    <w:p w14:paraId="74C13A60" w14:textId="77777777" w:rsidR="000625C9" w:rsidRDefault="0006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136FAEB5"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0EA3CECC">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3D56D"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6C0A56D3" w:rsidR="00097958" w:rsidRPr="003D5B84" w:rsidRDefault="00C854C1" w:rsidP="00222701">
    <w:pPr>
      <w:pStyle w:val="Header"/>
      <w:tabs>
        <w:tab w:val="clear" w:pos="4320"/>
        <w:tab w:val="clear" w:pos="8640"/>
        <w:tab w:val="left" w:pos="0"/>
        <w:tab w:val="center" w:pos="4301"/>
        <w:tab w:val="left" w:pos="7938"/>
      </w:tabs>
    </w:pPr>
    <w:r>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3D4130CA">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5F2CA"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1CCD" w14:textId="6FFB2A78" w:rsidR="00097958" w:rsidRDefault="00F6289B" w:rsidP="003E23A5">
    <w:pPr>
      <w:pStyle w:val="Header"/>
      <w:tabs>
        <w:tab w:val="clear" w:pos="4320"/>
        <w:tab w:val="clear" w:pos="8640"/>
        <w:tab w:val="left" w:pos="7938"/>
        <w:tab w:val="right" w:pos="8789"/>
      </w:tabs>
      <w:rPr>
        <w:rStyle w:val="PageNumber"/>
      </w:rPr>
    </w:pPr>
    <w:r>
      <w:rPr>
        <w:noProof/>
      </w:rPr>
      <w:drawing>
        <wp:anchor distT="0" distB="0" distL="114300" distR="114300" simplePos="0" relativeHeight="251661312" behindDoc="1" locked="0" layoutInCell="1" allowOverlap="1" wp14:anchorId="119941C5" wp14:editId="6F4B8781">
          <wp:simplePos x="0" y="0"/>
          <wp:positionH relativeFrom="column">
            <wp:posOffset>-236593</wp:posOffset>
          </wp:positionH>
          <wp:positionV relativeFrom="paragraph">
            <wp:posOffset>-560509</wp:posOffset>
          </wp:positionV>
          <wp:extent cx="2576830" cy="9398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76830" cy="939800"/>
                  </a:xfrm>
                  <a:prstGeom prst="rect">
                    <a:avLst/>
                  </a:prstGeom>
                </pic:spPr>
              </pic:pic>
            </a:graphicData>
          </a:graphic>
          <wp14:sizeRelH relativeFrom="margin">
            <wp14:pctWidth>0</wp14:pctWidth>
          </wp14:sizeRelH>
          <wp14:sizeRelV relativeFrom="margin">
            <wp14:pctHeight>0</wp14:pctHeight>
          </wp14:sizeRelV>
        </wp:anchor>
      </w:drawing>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60288" behindDoc="0" locked="0" layoutInCell="1" allowOverlap="1" wp14:anchorId="480481AD" wp14:editId="3F641B1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6D2F6"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796025413">
    <w:abstractNumId w:val="14"/>
  </w:num>
  <w:num w:numId="2" w16cid:durableId="2071921298">
    <w:abstractNumId w:val="9"/>
  </w:num>
  <w:num w:numId="3" w16cid:durableId="183712324">
    <w:abstractNumId w:val="18"/>
  </w:num>
  <w:num w:numId="4" w16cid:durableId="80831745">
    <w:abstractNumId w:val="8"/>
  </w:num>
  <w:num w:numId="5" w16cid:durableId="1048913872">
    <w:abstractNumId w:val="11"/>
  </w:num>
  <w:num w:numId="6" w16cid:durableId="101461037">
    <w:abstractNumId w:val="15"/>
  </w:num>
  <w:num w:numId="7" w16cid:durableId="935409481">
    <w:abstractNumId w:val="12"/>
  </w:num>
  <w:num w:numId="8" w16cid:durableId="137722486">
    <w:abstractNumId w:val="10"/>
  </w:num>
  <w:num w:numId="9" w16cid:durableId="448160921">
    <w:abstractNumId w:val="6"/>
  </w:num>
  <w:num w:numId="10" w16cid:durableId="1616132437">
    <w:abstractNumId w:val="1"/>
  </w:num>
  <w:num w:numId="11" w16cid:durableId="1128477025">
    <w:abstractNumId w:val="0"/>
  </w:num>
  <w:num w:numId="12" w16cid:durableId="1567689727">
    <w:abstractNumId w:val="3"/>
  </w:num>
  <w:num w:numId="13" w16cid:durableId="1725442736">
    <w:abstractNumId w:val="2"/>
  </w:num>
  <w:num w:numId="14" w16cid:durableId="733046166">
    <w:abstractNumId w:val="4"/>
  </w:num>
  <w:num w:numId="15" w16cid:durableId="780606365">
    <w:abstractNumId w:val="17"/>
  </w:num>
  <w:num w:numId="16" w16cid:durableId="642542738">
    <w:abstractNumId w:val="5"/>
  </w:num>
  <w:num w:numId="17" w16cid:durableId="1331449893">
    <w:abstractNumId w:val="16"/>
  </w:num>
  <w:num w:numId="18" w16cid:durableId="638875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2796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8205492">
    <w:abstractNumId w:val="13"/>
  </w:num>
  <w:num w:numId="21" w16cid:durableId="109420697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060B"/>
    <w:rsid w:val="000523C5"/>
    <w:rsid w:val="00053FB7"/>
    <w:rsid w:val="0006020A"/>
    <w:rsid w:val="00060330"/>
    <w:rsid w:val="00060F5C"/>
    <w:rsid w:val="00061D77"/>
    <w:rsid w:val="000625C9"/>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424D"/>
    <w:rsid w:val="000A592D"/>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2693"/>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393C"/>
    <w:rsid w:val="001B2439"/>
    <w:rsid w:val="001B2EF9"/>
    <w:rsid w:val="001B4AB3"/>
    <w:rsid w:val="001B5250"/>
    <w:rsid w:val="001B5719"/>
    <w:rsid w:val="001B5A8C"/>
    <w:rsid w:val="001B621C"/>
    <w:rsid w:val="001B64D0"/>
    <w:rsid w:val="001B7915"/>
    <w:rsid w:val="001C0FE6"/>
    <w:rsid w:val="001C19EB"/>
    <w:rsid w:val="001C1DDC"/>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63B"/>
    <w:rsid w:val="00361EB1"/>
    <w:rsid w:val="003629D1"/>
    <w:rsid w:val="003637CE"/>
    <w:rsid w:val="003715EC"/>
    <w:rsid w:val="00373753"/>
    <w:rsid w:val="0037476F"/>
    <w:rsid w:val="003751C8"/>
    <w:rsid w:val="00376867"/>
    <w:rsid w:val="00376A96"/>
    <w:rsid w:val="003772AC"/>
    <w:rsid w:val="0038168A"/>
    <w:rsid w:val="00381E56"/>
    <w:rsid w:val="003826FF"/>
    <w:rsid w:val="00386A3D"/>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74F"/>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0665"/>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E2F"/>
    <w:rsid w:val="004C3BEB"/>
    <w:rsid w:val="004C59ED"/>
    <w:rsid w:val="004C65D5"/>
    <w:rsid w:val="004D1340"/>
    <w:rsid w:val="004D6B82"/>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67C67"/>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A0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191"/>
    <w:rsid w:val="00656420"/>
    <w:rsid w:val="0065699B"/>
    <w:rsid w:val="00656AAA"/>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1D52"/>
    <w:rsid w:val="006C5EC9"/>
    <w:rsid w:val="006C7C8B"/>
    <w:rsid w:val="006D29E6"/>
    <w:rsid w:val="006D3D6E"/>
    <w:rsid w:val="006D428D"/>
    <w:rsid w:val="006D449D"/>
    <w:rsid w:val="006D5851"/>
    <w:rsid w:val="006D5DAA"/>
    <w:rsid w:val="006D60D9"/>
    <w:rsid w:val="006D6178"/>
    <w:rsid w:val="006D69F6"/>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1F54"/>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5B88"/>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5BBB"/>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4B2C"/>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E78"/>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491"/>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3C32"/>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24C0"/>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38DC"/>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57AC"/>
    <w:rsid w:val="00C9655A"/>
    <w:rsid w:val="00C96FCA"/>
    <w:rsid w:val="00C9754D"/>
    <w:rsid w:val="00C975DF"/>
    <w:rsid w:val="00CA5D84"/>
    <w:rsid w:val="00CC1960"/>
    <w:rsid w:val="00CC2B02"/>
    <w:rsid w:val="00CD4F70"/>
    <w:rsid w:val="00CE1CF3"/>
    <w:rsid w:val="00CE4BC0"/>
    <w:rsid w:val="00CE6FE6"/>
    <w:rsid w:val="00CE70F3"/>
    <w:rsid w:val="00CE7659"/>
    <w:rsid w:val="00CF0E18"/>
    <w:rsid w:val="00CF1341"/>
    <w:rsid w:val="00CF29A4"/>
    <w:rsid w:val="00CF2F2E"/>
    <w:rsid w:val="00CF4D01"/>
    <w:rsid w:val="00CF624D"/>
    <w:rsid w:val="00CF6B79"/>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8D4"/>
    <w:rsid w:val="00E339EE"/>
    <w:rsid w:val="00E3557A"/>
    <w:rsid w:val="00E4014C"/>
    <w:rsid w:val="00E401FC"/>
    <w:rsid w:val="00E42615"/>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3E3C"/>
    <w:rsid w:val="00EA4376"/>
    <w:rsid w:val="00EA70DC"/>
    <w:rsid w:val="00EB01FF"/>
    <w:rsid w:val="00EB06C6"/>
    <w:rsid w:val="00EB1B47"/>
    <w:rsid w:val="00EB46E1"/>
    <w:rsid w:val="00EB7BD6"/>
    <w:rsid w:val="00EC20FD"/>
    <w:rsid w:val="00EC2EF8"/>
    <w:rsid w:val="00EC3DAC"/>
    <w:rsid w:val="00EC42FF"/>
    <w:rsid w:val="00EC51A8"/>
    <w:rsid w:val="00EC5A73"/>
    <w:rsid w:val="00EC5CF8"/>
    <w:rsid w:val="00ED1ABA"/>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07FC0"/>
    <w:rsid w:val="00F15BF4"/>
    <w:rsid w:val="00F15F69"/>
    <w:rsid w:val="00F1612D"/>
    <w:rsid w:val="00F173DD"/>
    <w:rsid w:val="00F21119"/>
    <w:rsid w:val="00F25164"/>
    <w:rsid w:val="00F277D3"/>
    <w:rsid w:val="00F30997"/>
    <w:rsid w:val="00F32896"/>
    <w:rsid w:val="00F337E2"/>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89B"/>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822416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Ilham Mulya Putra Pradana</cp:lastModifiedBy>
  <cp:revision>8</cp:revision>
  <cp:lastPrinted>2021-08-05T08:35:00Z</cp:lastPrinted>
  <dcterms:created xsi:type="dcterms:W3CDTF">2022-05-26T12:41:00Z</dcterms:created>
  <dcterms:modified xsi:type="dcterms:W3CDTF">2022-05-26T12:48:00Z</dcterms:modified>
  <cp:category/>
</cp:coreProperties>
</file>